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E80" w:rsidRPr="00D568F6" w:rsidRDefault="001A3E80" w:rsidP="001A3E80">
      <w:pPr>
        <w:jc w:val="center"/>
        <w:rPr>
          <w:rFonts w:ascii="標楷體" w:eastAsia="標楷體" w:hAnsi="標楷體"/>
          <w:b/>
          <w:sz w:val="32"/>
          <w:szCs w:val="32"/>
        </w:rPr>
      </w:pPr>
      <w:r w:rsidRPr="00D568F6">
        <w:rPr>
          <w:rFonts w:ascii="標楷體" w:eastAsia="標楷體" w:hAnsi="標楷體" w:hint="eastAsia"/>
          <w:b/>
          <w:sz w:val="32"/>
          <w:szCs w:val="32"/>
        </w:rPr>
        <w:t>債</w:t>
      </w:r>
      <w:r w:rsidR="00D568F6" w:rsidRPr="00D568F6">
        <w:rPr>
          <w:rFonts w:ascii="標楷體" w:eastAsia="標楷體" w:hAnsi="標楷體" w:hint="eastAsia"/>
          <w:b/>
          <w:sz w:val="32"/>
          <w:szCs w:val="32"/>
        </w:rPr>
        <w:t xml:space="preserve"> </w:t>
      </w:r>
      <w:proofErr w:type="gramStart"/>
      <w:r w:rsidRPr="00D568F6">
        <w:rPr>
          <w:rFonts w:ascii="標楷體" w:eastAsia="標楷體" w:hAnsi="標楷體" w:hint="eastAsia"/>
          <w:b/>
          <w:sz w:val="32"/>
          <w:szCs w:val="32"/>
        </w:rPr>
        <w:t>券</w:t>
      </w:r>
      <w:proofErr w:type="gramEnd"/>
      <w:r w:rsidR="00D568F6" w:rsidRPr="00D568F6">
        <w:rPr>
          <w:rFonts w:ascii="標楷體" w:eastAsia="標楷體" w:hAnsi="標楷體" w:hint="eastAsia"/>
          <w:b/>
          <w:sz w:val="32"/>
          <w:szCs w:val="32"/>
        </w:rPr>
        <w:t xml:space="preserve"> </w:t>
      </w:r>
      <w:r w:rsidRPr="00D568F6">
        <w:rPr>
          <w:rFonts w:ascii="標楷體" w:eastAsia="標楷體" w:hAnsi="標楷體" w:hint="eastAsia"/>
          <w:b/>
          <w:sz w:val="32"/>
          <w:szCs w:val="32"/>
        </w:rPr>
        <w:t>附</w:t>
      </w:r>
      <w:r w:rsidR="00D568F6" w:rsidRPr="00D568F6">
        <w:rPr>
          <w:rFonts w:ascii="標楷體" w:eastAsia="標楷體" w:hAnsi="標楷體" w:hint="eastAsia"/>
          <w:b/>
          <w:sz w:val="32"/>
          <w:szCs w:val="32"/>
        </w:rPr>
        <w:t xml:space="preserve"> </w:t>
      </w:r>
      <w:r w:rsidRPr="00D568F6">
        <w:rPr>
          <w:rFonts w:ascii="標楷體" w:eastAsia="標楷體" w:hAnsi="標楷體" w:hint="eastAsia"/>
          <w:b/>
          <w:sz w:val="32"/>
          <w:szCs w:val="32"/>
        </w:rPr>
        <w:t>條</w:t>
      </w:r>
      <w:r w:rsidR="00D568F6" w:rsidRPr="00D568F6">
        <w:rPr>
          <w:rFonts w:ascii="標楷體" w:eastAsia="標楷體" w:hAnsi="標楷體" w:hint="eastAsia"/>
          <w:b/>
          <w:sz w:val="32"/>
          <w:szCs w:val="32"/>
        </w:rPr>
        <w:t xml:space="preserve"> </w:t>
      </w:r>
      <w:r w:rsidRPr="00D568F6">
        <w:rPr>
          <w:rFonts w:ascii="標楷體" w:eastAsia="標楷體" w:hAnsi="標楷體" w:hint="eastAsia"/>
          <w:b/>
          <w:sz w:val="32"/>
          <w:szCs w:val="32"/>
        </w:rPr>
        <w:t>件</w:t>
      </w:r>
      <w:r w:rsidR="00D568F6" w:rsidRPr="00D568F6">
        <w:rPr>
          <w:rFonts w:ascii="標楷體" w:eastAsia="標楷體" w:hAnsi="標楷體" w:hint="eastAsia"/>
          <w:b/>
          <w:sz w:val="32"/>
          <w:szCs w:val="32"/>
        </w:rPr>
        <w:t xml:space="preserve"> </w:t>
      </w:r>
      <w:r w:rsidRPr="00D568F6">
        <w:rPr>
          <w:rFonts w:ascii="標楷體" w:eastAsia="標楷體" w:hAnsi="標楷體" w:hint="eastAsia"/>
          <w:b/>
          <w:sz w:val="32"/>
          <w:szCs w:val="32"/>
        </w:rPr>
        <w:t>買</w:t>
      </w:r>
      <w:r w:rsidR="00D568F6" w:rsidRPr="00D568F6">
        <w:rPr>
          <w:rFonts w:ascii="標楷體" w:eastAsia="標楷體" w:hAnsi="標楷體" w:hint="eastAsia"/>
          <w:b/>
          <w:sz w:val="32"/>
          <w:szCs w:val="32"/>
        </w:rPr>
        <w:t xml:space="preserve"> </w:t>
      </w:r>
      <w:r w:rsidRPr="00D568F6">
        <w:rPr>
          <w:rFonts w:ascii="標楷體" w:eastAsia="標楷體" w:hAnsi="標楷體" w:hint="eastAsia"/>
          <w:b/>
          <w:sz w:val="32"/>
          <w:szCs w:val="32"/>
        </w:rPr>
        <w:t>賣</w:t>
      </w:r>
      <w:r w:rsidR="00D568F6" w:rsidRPr="00D568F6">
        <w:rPr>
          <w:rFonts w:ascii="標楷體" w:eastAsia="標楷體" w:hAnsi="標楷體" w:hint="eastAsia"/>
          <w:b/>
          <w:sz w:val="32"/>
          <w:szCs w:val="32"/>
        </w:rPr>
        <w:t xml:space="preserve"> </w:t>
      </w:r>
      <w:r w:rsidRPr="00D568F6">
        <w:rPr>
          <w:rFonts w:ascii="標楷體" w:eastAsia="標楷體" w:hAnsi="標楷體" w:hint="eastAsia"/>
          <w:b/>
          <w:sz w:val="32"/>
          <w:szCs w:val="32"/>
        </w:rPr>
        <w:t>總</w:t>
      </w:r>
      <w:r w:rsidR="00D568F6" w:rsidRPr="00D568F6">
        <w:rPr>
          <w:rFonts w:ascii="標楷體" w:eastAsia="標楷體" w:hAnsi="標楷體" w:hint="eastAsia"/>
          <w:b/>
          <w:sz w:val="32"/>
          <w:szCs w:val="32"/>
        </w:rPr>
        <w:t xml:space="preserve"> </w:t>
      </w:r>
      <w:proofErr w:type="gramStart"/>
      <w:r w:rsidRPr="00D568F6">
        <w:rPr>
          <w:rFonts w:ascii="標楷體" w:eastAsia="標楷體" w:hAnsi="標楷體" w:hint="eastAsia"/>
          <w:b/>
          <w:sz w:val="32"/>
          <w:szCs w:val="32"/>
        </w:rPr>
        <w:t>契</w:t>
      </w:r>
      <w:proofErr w:type="gramEnd"/>
      <w:r w:rsidR="00D568F6" w:rsidRPr="00D568F6">
        <w:rPr>
          <w:rFonts w:ascii="標楷體" w:eastAsia="標楷體" w:hAnsi="標楷體" w:hint="eastAsia"/>
          <w:b/>
          <w:sz w:val="32"/>
          <w:szCs w:val="32"/>
        </w:rPr>
        <w:t xml:space="preserve"> </w:t>
      </w:r>
      <w:r w:rsidRPr="00D568F6">
        <w:rPr>
          <w:rFonts w:ascii="標楷體" w:eastAsia="標楷體" w:hAnsi="標楷體" w:hint="eastAsia"/>
          <w:b/>
          <w:sz w:val="32"/>
          <w:szCs w:val="32"/>
        </w:rPr>
        <w:t>約</w:t>
      </w:r>
    </w:p>
    <w:p w:rsidR="001A3E80" w:rsidRPr="00D568F6" w:rsidRDefault="001A3E80" w:rsidP="001A3E80">
      <w:pPr>
        <w:rPr>
          <w:rFonts w:ascii="標楷體" w:eastAsia="標楷體" w:hAnsi="標楷體"/>
          <w:sz w:val="22"/>
        </w:rPr>
      </w:pPr>
      <w:r w:rsidRPr="00D568F6">
        <w:rPr>
          <w:rFonts w:ascii="標楷體" w:eastAsia="標楷體" w:hAnsi="標楷體" w:hint="eastAsia"/>
          <w:sz w:val="22"/>
        </w:rPr>
        <w:t>立契約人</w:t>
      </w:r>
      <w:r w:rsidR="004937CC">
        <w:rPr>
          <w:rFonts w:ascii="標楷體" w:eastAsia="標楷體" w:hAnsi="標楷體" w:hint="eastAsia"/>
          <w:sz w:val="22"/>
        </w:rPr>
        <w:t xml:space="preserve">  </w:t>
      </w:r>
      <w:r w:rsidR="00D568F6" w:rsidRPr="00D568F6">
        <w:rPr>
          <w:rFonts w:ascii="標楷體" w:eastAsia="標楷體" w:hAnsi="標楷體" w:hint="eastAsia"/>
          <w:b/>
          <w:sz w:val="22"/>
        </w:rPr>
        <w:t>大中票</w:t>
      </w:r>
      <w:proofErr w:type="gramStart"/>
      <w:r w:rsidR="00D568F6" w:rsidRPr="00D568F6">
        <w:rPr>
          <w:rFonts w:ascii="標楷體" w:eastAsia="標楷體" w:hAnsi="標楷體" w:hint="eastAsia"/>
          <w:b/>
          <w:sz w:val="22"/>
        </w:rPr>
        <w:t>券</w:t>
      </w:r>
      <w:proofErr w:type="gramEnd"/>
      <w:r w:rsidR="00D568F6" w:rsidRPr="00D568F6">
        <w:rPr>
          <w:rFonts w:ascii="標楷體" w:eastAsia="標楷體" w:hAnsi="標楷體" w:hint="eastAsia"/>
          <w:b/>
          <w:sz w:val="22"/>
        </w:rPr>
        <w:t>金融股份有限公司</w:t>
      </w:r>
      <w:r w:rsidRPr="00D568F6">
        <w:rPr>
          <w:rFonts w:ascii="標楷體" w:eastAsia="標楷體" w:hAnsi="標楷體" w:hint="eastAsia"/>
          <w:sz w:val="22"/>
        </w:rPr>
        <w:t xml:space="preserve">（以下簡稱甲方）及         </w:t>
      </w:r>
      <w:r w:rsidR="00D568F6">
        <w:rPr>
          <w:rFonts w:ascii="標楷體" w:eastAsia="標楷體" w:hAnsi="標楷體" w:hint="eastAsia"/>
          <w:sz w:val="22"/>
        </w:rPr>
        <w:t xml:space="preserve">          </w:t>
      </w:r>
      <w:r w:rsidRPr="00D568F6">
        <w:rPr>
          <w:rFonts w:ascii="標楷體" w:eastAsia="標楷體" w:hAnsi="標楷體" w:hint="eastAsia"/>
          <w:sz w:val="22"/>
        </w:rPr>
        <w:t xml:space="preserve"> </w:t>
      </w:r>
      <w:r w:rsidR="004937CC">
        <w:rPr>
          <w:rFonts w:ascii="標楷體" w:eastAsia="標楷體" w:hAnsi="標楷體" w:hint="eastAsia"/>
          <w:sz w:val="22"/>
        </w:rPr>
        <w:t xml:space="preserve">      </w:t>
      </w:r>
      <w:r w:rsidRPr="00D568F6">
        <w:rPr>
          <w:rFonts w:ascii="標楷體" w:eastAsia="標楷體" w:hAnsi="標楷體" w:hint="eastAsia"/>
          <w:sz w:val="22"/>
        </w:rPr>
        <w:t>（以下簡稱乙方），茲為雙方擬為債券附條件買賣交易，同意簽訂本契約書（以下簡稱本總契約），並遵守下列條款：</w:t>
      </w:r>
    </w:p>
    <w:p w:rsidR="001A3E80" w:rsidRPr="00D568F6" w:rsidRDefault="001A3E80" w:rsidP="000E2C82">
      <w:pPr>
        <w:ind w:left="1133" w:hangingChars="515" w:hanging="1133"/>
        <w:rPr>
          <w:rFonts w:ascii="標楷體" w:eastAsia="標楷體" w:hAnsi="標楷體"/>
          <w:sz w:val="22"/>
        </w:rPr>
      </w:pPr>
      <w:r w:rsidRPr="00D568F6">
        <w:rPr>
          <w:rFonts w:ascii="標楷體" w:eastAsia="標楷體" w:hAnsi="標楷體" w:hint="eastAsia"/>
          <w:sz w:val="22"/>
        </w:rPr>
        <w:t>第一條</w:t>
      </w:r>
      <w:r w:rsidR="00647452">
        <w:rPr>
          <w:rFonts w:ascii="標楷體" w:eastAsia="標楷體" w:hAnsi="標楷體" w:hint="eastAsia"/>
          <w:sz w:val="22"/>
        </w:rPr>
        <w:tab/>
      </w:r>
      <w:proofErr w:type="gramStart"/>
      <w:r w:rsidRPr="00D568F6">
        <w:rPr>
          <w:rFonts w:ascii="標楷體" w:eastAsia="標楷體" w:hAnsi="標楷體" w:hint="eastAsia"/>
          <w:sz w:val="22"/>
        </w:rPr>
        <w:t>本總契約</w:t>
      </w:r>
      <w:proofErr w:type="gramEnd"/>
      <w:r w:rsidRPr="00D568F6">
        <w:rPr>
          <w:rFonts w:ascii="標楷體" w:eastAsia="標楷體" w:hAnsi="標楷體" w:hint="eastAsia"/>
          <w:sz w:val="22"/>
        </w:rPr>
        <w:t>用詞定義如下：</w:t>
      </w:r>
    </w:p>
    <w:p w:rsidR="007435D5" w:rsidRPr="00D568F6" w:rsidRDefault="001A3E80" w:rsidP="000E2C82">
      <w:pPr>
        <w:pStyle w:val="a3"/>
        <w:numPr>
          <w:ilvl w:val="0"/>
          <w:numId w:val="1"/>
        </w:numPr>
        <w:ind w:leftChars="0" w:left="1701" w:hanging="567"/>
        <w:rPr>
          <w:rFonts w:ascii="標楷體" w:eastAsia="標楷體" w:hAnsi="標楷體"/>
          <w:sz w:val="22"/>
        </w:rPr>
      </w:pPr>
      <w:r w:rsidRPr="00D568F6">
        <w:rPr>
          <w:rFonts w:ascii="標楷體" w:eastAsia="標楷體" w:hAnsi="標楷體" w:hint="eastAsia"/>
          <w:sz w:val="22"/>
        </w:rPr>
        <w:t>附條件買賣（以下簡稱買賣）：指買賣雙方同意，於買方支付買價予賣方，賣方支付債券予買方，並約定於特定期日或因一方之要求經他方同意後，由買方以標的債券或以同種類、同數量之債券</w:t>
      </w:r>
      <w:proofErr w:type="gramStart"/>
      <w:r w:rsidRPr="00D568F6">
        <w:rPr>
          <w:rFonts w:ascii="標楷體" w:eastAsia="標楷體" w:hAnsi="標楷體" w:hint="eastAsia"/>
          <w:sz w:val="22"/>
        </w:rPr>
        <w:t>賣還並交付</w:t>
      </w:r>
      <w:proofErr w:type="gramEnd"/>
      <w:r w:rsidRPr="00D568F6">
        <w:rPr>
          <w:rFonts w:ascii="標楷體" w:eastAsia="標楷體" w:hAnsi="標楷體" w:hint="eastAsia"/>
          <w:sz w:val="22"/>
        </w:rPr>
        <w:t>賣方之交易。</w:t>
      </w:r>
    </w:p>
    <w:p w:rsidR="007435D5" w:rsidRPr="00D568F6" w:rsidRDefault="001A3E80" w:rsidP="000E2C82">
      <w:pPr>
        <w:pStyle w:val="a3"/>
        <w:numPr>
          <w:ilvl w:val="0"/>
          <w:numId w:val="1"/>
        </w:numPr>
        <w:ind w:leftChars="0" w:left="1701" w:hanging="567"/>
        <w:rPr>
          <w:rFonts w:ascii="標楷體" w:eastAsia="標楷體" w:hAnsi="標楷體"/>
          <w:sz w:val="22"/>
        </w:rPr>
      </w:pPr>
      <w:r w:rsidRPr="00D568F6">
        <w:rPr>
          <w:rFonts w:ascii="標楷體" w:eastAsia="標楷體" w:hAnsi="標楷體" w:hint="eastAsia"/>
          <w:sz w:val="22"/>
        </w:rPr>
        <w:t>附條件買賣個別契約（以下簡稱個別契約）：指雙方</w:t>
      </w:r>
      <w:proofErr w:type="gramStart"/>
      <w:r w:rsidRPr="00D568F6">
        <w:rPr>
          <w:rFonts w:ascii="標楷體" w:eastAsia="標楷體" w:hAnsi="標楷體" w:hint="eastAsia"/>
          <w:sz w:val="22"/>
        </w:rPr>
        <w:t>在本總契約</w:t>
      </w:r>
      <w:proofErr w:type="gramEnd"/>
      <w:r w:rsidRPr="00D568F6">
        <w:rPr>
          <w:rFonts w:ascii="標楷體" w:eastAsia="標楷體" w:hAnsi="標楷體" w:hint="eastAsia"/>
          <w:sz w:val="22"/>
        </w:rPr>
        <w:t>拘束下，就特定買賣所訂之契約。</w:t>
      </w:r>
    </w:p>
    <w:p w:rsidR="007435D5" w:rsidRPr="00D568F6" w:rsidRDefault="001A3E80" w:rsidP="000E2C82">
      <w:pPr>
        <w:pStyle w:val="a3"/>
        <w:numPr>
          <w:ilvl w:val="0"/>
          <w:numId w:val="1"/>
        </w:numPr>
        <w:ind w:leftChars="0" w:left="1701" w:hanging="567"/>
        <w:rPr>
          <w:rFonts w:ascii="標楷體" w:eastAsia="標楷體" w:hAnsi="標楷體"/>
          <w:sz w:val="22"/>
        </w:rPr>
      </w:pPr>
      <w:r w:rsidRPr="00D568F6">
        <w:rPr>
          <w:rFonts w:ascii="標楷體" w:eastAsia="標楷體" w:hAnsi="標楷體" w:hint="eastAsia"/>
          <w:sz w:val="22"/>
        </w:rPr>
        <w:t>成交日：指附條件買賣個別契約成立之期日。</w:t>
      </w:r>
    </w:p>
    <w:p w:rsidR="007435D5" w:rsidRPr="00D568F6" w:rsidRDefault="001A3E80" w:rsidP="000E2C82">
      <w:pPr>
        <w:pStyle w:val="a3"/>
        <w:numPr>
          <w:ilvl w:val="0"/>
          <w:numId w:val="1"/>
        </w:numPr>
        <w:ind w:leftChars="0" w:left="1701" w:hanging="567"/>
        <w:rPr>
          <w:rFonts w:ascii="標楷體" w:eastAsia="標楷體" w:hAnsi="標楷體"/>
          <w:sz w:val="22"/>
        </w:rPr>
      </w:pPr>
      <w:r w:rsidRPr="00D568F6">
        <w:rPr>
          <w:rFonts w:ascii="標楷體" w:eastAsia="標楷體" w:hAnsi="標楷體" w:hint="eastAsia"/>
          <w:sz w:val="22"/>
        </w:rPr>
        <w:t>買進日：指雙方約定買方自賣方取得標的債券之期日。</w:t>
      </w:r>
    </w:p>
    <w:p w:rsidR="007435D5" w:rsidRPr="00D568F6" w:rsidRDefault="001A3E80" w:rsidP="000E2C82">
      <w:pPr>
        <w:pStyle w:val="a3"/>
        <w:numPr>
          <w:ilvl w:val="0"/>
          <w:numId w:val="1"/>
        </w:numPr>
        <w:ind w:leftChars="0" w:left="1701" w:hanging="567"/>
        <w:rPr>
          <w:rFonts w:ascii="標楷體" w:eastAsia="標楷體" w:hAnsi="標楷體"/>
          <w:sz w:val="22"/>
        </w:rPr>
      </w:pPr>
      <w:proofErr w:type="gramStart"/>
      <w:r w:rsidRPr="00D568F6">
        <w:rPr>
          <w:rFonts w:ascii="標楷體" w:eastAsia="標楷體" w:hAnsi="標楷體" w:hint="eastAsia"/>
          <w:sz w:val="22"/>
        </w:rPr>
        <w:t>賣還日</w:t>
      </w:r>
      <w:proofErr w:type="gramEnd"/>
      <w:r w:rsidRPr="00D568F6">
        <w:rPr>
          <w:rFonts w:ascii="標楷體" w:eastAsia="標楷體" w:hAnsi="標楷體" w:hint="eastAsia"/>
          <w:sz w:val="22"/>
        </w:rPr>
        <w:t>：指雙方約定買方</w:t>
      </w:r>
      <w:proofErr w:type="gramStart"/>
      <w:r w:rsidRPr="00D568F6">
        <w:rPr>
          <w:rFonts w:ascii="標楷體" w:eastAsia="標楷體" w:hAnsi="標楷體" w:hint="eastAsia"/>
          <w:sz w:val="22"/>
        </w:rPr>
        <w:t>賣還標的</w:t>
      </w:r>
      <w:proofErr w:type="gramEnd"/>
      <w:r w:rsidRPr="00D568F6">
        <w:rPr>
          <w:rFonts w:ascii="標楷體" w:eastAsia="標楷體" w:hAnsi="標楷體" w:hint="eastAsia"/>
          <w:sz w:val="22"/>
        </w:rPr>
        <w:t>債券或與標的債券同種類、同數量債券之期日。</w:t>
      </w:r>
    </w:p>
    <w:p w:rsidR="001A3E80" w:rsidRPr="00D568F6" w:rsidRDefault="001A3E80" w:rsidP="000E2C82">
      <w:pPr>
        <w:pStyle w:val="a3"/>
        <w:numPr>
          <w:ilvl w:val="0"/>
          <w:numId w:val="1"/>
        </w:numPr>
        <w:ind w:leftChars="0" w:left="1701" w:hanging="567"/>
        <w:rPr>
          <w:rFonts w:ascii="標楷體" w:eastAsia="標楷體" w:hAnsi="標楷體"/>
          <w:sz w:val="22"/>
        </w:rPr>
      </w:pPr>
      <w:r w:rsidRPr="00D568F6">
        <w:rPr>
          <w:rFonts w:ascii="標楷體" w:eastAsia="標楷體" w:hAnsi="標楷體" w:hint="eastAsia"/>
          <w:sz w:val="22"/>
        </w:rPr>
        <w:t>買價：指雙方約定於買進日買方為取得標的債券應支付賣方之價金。</w:t>
      </w:r>
    </w:p>
    <w:p w:rsidR="001A3E80" w:rsidRPr="00D568F6" w:rsidRDefault="001A3E80" w:rsidP="000E2C82">
      <w:pPr>
        <w:pStyle w:val="a3"/>
        <w:numPr>
          <w:ilvl w:val="0"/>
          <w:numId w:val="1"/>
        </w:numPr>
        <w:ind w:leftChars="0" w:left="1701" w:hanging="567"/>
        <w:rPr>
          <w:rFonts w:ascii="標楷體" w:eastAsia="標楷體" w:hAnsi="標楷體"/>
          <w:sz w:val="22"/>
        </w:rPr>
      </w:pPr>
      <w:r w:rsidRPr="00D568F6">
        <w:rPr>
          <w:rFonts w:ascii="標楷體" w:eastAsia="標楷體" w:hAnsi="標楷體" w:hint="eastAsia"/>
          <w:sz w:val="22"/>
        </w:rPr>
        <w:t>賣還價金：指雙方約定於</w:t>
      </w:r>
      <w:proofErr w:type="gramStart"/>
      <w:r w:rsidRPr="00D568F6">
        <w:rPr>
          <w:rFonts w:ascii="標楷體" w:eastAsia="標楷體" w:hAnsi="標楷體" w:hint="eastAsia"/>
          <w:sz w:val="22"/>
        </w:rPr>
        <w:t>賣還日買方</w:t>
      </w:r>
      <w:proofErr w:type="gramEnd"/>
      <w:r w:rsidRPr="00D568F6">
        <w:rPr>
          <w:rFonts w:ascii="標楷體" w:eastAsia="標楷體" w:hAnsi="標楷體" w:hint="eastAsia"/>
          <w:sz w:val="22"/>
        </w:rPr>
        <w:t>賣回標的債券予賣方之價金。</w:t>
      </w:r>
    </w:p>
    <w:p w:rsidR="001A3E80" w:rsidRPr="00D568F6" w:rsidRDefault="001A3E80" w:rsidP="000E2C82">
      <w:pPr>
        <w:pStyle w:val="a3"/>
        <w:numPr>
          <w:ilvl w:val="0"/>
          <w:numId w:val="1"/>
        </w:numPr>
        <w:ind w:leftChars="0" w:left="1701" w:hanging="567"/>
        <w:rPr>
          <w:rFonts w:ascii="標楷體" w:eastAsia="標楷體" w:hAnsi="標楷體"/>
          <w:sz w:val="22"/>
        </w:rPr>
      </w:pPr>
      <w:r w:rsidRPr="00D568F6">
        <w:rPr>
          <w:rFonts w:ascii="標楷體" w:eastAsia="標楷體" w:hAnsi="標楷體" w:hint="eastAsia"/>
          <w:sz w:val="22"/>
        </w:rPr>
        <w:t>標的債券：指雙方約定於買進日賣方應交付買方之債券。</w:t>
      </w:r>
    </w:p>
    <w:p w:rsidR="001A3E80" w:rsidRPr="00D568F6" w:rsidRDefault="001A3E80" w:rsidP="000E2C82">
      <w:pPr>
        <w:ind w:left="1133" w:hangingChars="515" w:hanging="1133"/>
        <w:rPr>
          <w:rFonts w:ascii="標楷體" w:eastAsia="標楷體" w:hAnsi="標楷體"/>
          <w:sz w:val="22"/>
        </w:rPr>
      </w:pPr>
      <w:r w:rsidRPr="00D568F6">
        <w:rPr>
          <w:rFonts w:ascii="標楷體" w:eastAsia="標楷體" w:hAnsi="標楷體" w:hint="eastAsia"/>
          <w:sz w:val="22"/>
        </w:rPr>
        <w:t>第二條</w:t>
      </w:r>
      <w:r w:rsidR="00647452">
        <w:rPr>
          <w:rFonts w:ascii="標楷體" w:eastAsia="標楷體" w:hAnsi="標楷體" w:hint="eastAsia"/>
          <w:sz w:val="22"/>
        </w:rPr>
        <w:tab/>
      </w:r>
      <w:r w:rsidRPr="00D568F6">
        <w:rPr>
          <w:rFonts w:ascii="標楷體" w:eastAsia="標楷體" w:hAnsi="標楷體" w:hint="eastAsia"/>
          <w:sz w:val="22"/>
        </w:rPr>
        <w:t>雙方於賣還日前，一方得經他方同意後，於特定期日提前終止個別契約，並以個別契約之終止日為</w:t>
      </w:r>
      <w:proofErr w:type="gramStart"/>
      <w:r w:rsidRPr="00D568F6">
        <w:rPr>
          <w:rFonts w:ascii="標楷體" w:eastAsia="標楷體" w:hAnsi="標楷體" w:hint="eastAsia"/>
          <w:sz w:val="22"/>
        </w:rPr>
        <w:t>賣還日</w:t>
      </w:r>
      <w:proofErr w:type="gramEnd"/>
      <w:r w:rsidRPr="00D568F6">
        <w:rPr>
          <w:rFonts w:ascii="標楷體" w:eastAsia="標楷體" w:hAnsi="標楷體" w:hint="eastAsia"/>
          <w:sz w:val="22"/>
        </w:rPr>
        <w:t>，但因此致他方受有損失者，應補償他方之損失。</w:t>
      </w:r>
    </w:p>
    <w:p w:rsidR="00647452" w:rsidRDefault="001A3E80" w:rsidP="000E2C82">
      <w:pPr>
        <w:ind w:left="1133" w:hangingChars="515" w:hanging="1133"/>
        <w:rPr>
          <w:rFonts w:ascii="標楷體" w:eastAsia="標楷體" w:hAnsi="標楷體"/>
          <w:sz w:val="22"/>
        </w:rPr>
      </w:pPr>
      <w:r w:rsidRPr="00D568F6">
        <w:rPr>
          <w:rFonts w:ascii="標楷體" w:eastAsia="標楷體" w:hAnsi="標楷體" w:hint="eastAsia"/>
          <w:sz w:val="22"/>
        </w:rPr>
        <w:t>第三條</w:t>
      </w:r>
      <w:r w:rsidR="00647452">
        <w:rPr>
          <w:rFonts w:ascii="標楷體" w:eastAsia="標楷體" w:hAnsi="標楷體" w:hint="eastAsia"/>
          <w:sz w:val="22"/>
        </w:rPr>
        <w:tab/>
      </w:r>
      <w:r w:rsidRPr="00D568F6">
        <w:rPr>
          <w:rFonts w:ascii="標楷體" w:eastAsia="標楷體" w:hAnsi="標楷體" w:hint="eastAsia"/>
          <w:sz w:val="22"/>
        </w:rPr>
        <w:t>標的債券於賣還日前，所有權歸屬於買方。</w:t>
      </w:r>
    </w:p>
    <w:p w:rsidR="00647452" w:rsidRDefault="001A3E80" w:rsidP="000E2C82">
      <w:pPr>
        <w:ind w:left="1133" w:hangingChars="515" w:hanging="1133"/>
        <w:rPr>
          <w:rFonts w:ascii="標楷體" w:eastAsia="標楷體" w:hAnsi="標楷體"/>
          <w:sz w:val="22"/>
        </w:rPr>
      </w:pPr>
      <w:r w:rsidRPr="00D568F6">
        <w:rPr>
          <w:rFonts w:ascii="標楷體" w:eastAsia="標楷體" w:hAnsi="標楷體" w:hint="eastAsia"/>
          <w:sz w:val="22"/>
        </w:rPr>
        <w:t>第四條</w:t>
      </w:r>
      <w:r w:rsidR="00647452">
        <w:rPr>
          <w:rFonts w:ascii="標楷體" w:eastAsia="標楷體" w:hAnsi="標楷體" w:hint="eastAsia"/>
          <w:sz w:val="22"/>
        </w:rPr>
        <w:tab/>
      </w:r>
      <w:r w:rsidRPr="00D568F6">
        <w:rPr>
          <w:rFonts w:ascii="標楷體" w:eastAsia="標楷體" w:hAnsi="標楷體" w:hint="eastAsia"/>
          <w:sz w:val="22"/>
        </w:rPr>
        <w:t>於買進日賣方應交付標的債券予買方，買方應支付買價予賣方；於</w:t>
      </w:r>
      <w:proofErr w:type="gramStart"/>
      <w:r w:rsidRPr="00D568F6">
        <w:rPr>
          <w:rFonts w:ascii="標楷體" w:eastAsia="標楷體" w:hAnsi="標楷體" w:hint="eastAsia"/>
          <w:sz w:val="22"/>
        </w:rPr>
        <w:t>賣還日買方</w:t>
      </w:r>
      <w:proofErr w:type="gramEnd"/>
      <w:r w:rsidRPr="00D568F6">
        <w:rPr>
          <w:rFonts w:ascii="標楷體" w:eastAsia="標楷體" w:hAnsi="標楷體" w:hint="eastAsia"/>
          <w:sz w:val="22"/>
        </w:rPr>
        <w:t>應賣回標的債券予賣方，賣方應支付賣還價金予買方。</w:t>
      </w:r>
    </w:p>
    <w:p w:rsidR="00647452" w:rsidRDefault="001A3E80" w:rsidP="000E2C82">
      <w:pPr>
        <w:ind w:left="1133" w:hangingChars="515" w:hanging="1133"/>
        <w:rPr>
          <w:rFonts w:ascii="標楷體" w:eastAsia="標楷體" w:hAnsi="標楷體"/>
          <w:sz w:val="22"/>
        </w:rPr>
      </w:pPr>
      <w:r w:rsidRPr="00D568F6">
        <w:rPr>
          <w:rFonts w:ascii="標楷體" w:eastAsia="標楷體" w:hAnsi="標楷體" w:hint="eastAsia"/>
          <w:sz w:val="22"/>
        </w:rPr>
        <w:t>第五條</w:t>
      </w:r>
      <w:r w:rsidR="00647452">
        <w:rPr>
          <w:rFonts w:ascii="標楷體" w:eastAsia="標楷體" w:hAnsi="標楷體" w:hint="eastAsia"/>
          <w:sz w:val="22"/>
        </w:rPr>
        <w:tab/>
      </w:r>
      <w:r w:rsidRPr="00D568F6">
        <w:rPr>
          <w:rFonts w:ascii="標楷體" w:eastAsia="標楷體" w:hAnsi="標楷體" w:hint="eastAsia"/>
          <w:sz w:val="22"/>
        </w:rPr>
        <w:t>如一方為證券商者，</w:t>
      </w:r>
      <w:proofErr w:type="gramStart"/>
      <w:r w:rsidRPr="00D568F6">
        <w:rPr>
          <w:rFonts w:ascii="標楷體" w:eastAsia="標楷體" w:hAnsi="標楷體" w:hint="eastAsia"/>
          <w:sz w:val="22"/>
        </w:rPr>
        <w:t>就標的</w:t>
      </w:r>
      <w:proofErr w:type="gramEnd"/>
      <w:r w:rsidRPr="00D568F6">
        <w:rPr>
          <w:rFonts w:ascii="標楷體" w:eastAsia="標楷體" w:hAnsi="標楷體" w:hint="eastAsia"/>
          <w:sz w:val="22"/>
        </w:rPr>
        <w:t>債券之交付方式，應依財團法人中華民國證券櫃檯買賣中心證券商營業處所買賣有價證券業務規則及證券商營業處所債券附條件買賣交易細則等相關規定辦理，並於個別契約中約定之。</w:t>
      </w:r>
    </w:p>
    <w:p w:rsidR="00647452" w:rsidRDefault="001A3E80" w:rsidP="000E2C82">
      <w:pPr>
        <w:ind w:left="1133" w:hangingChars="515" w:hanging="1133"/>
        <w:rPr>
          <w:rFonts w:ascii="標楷體" w:eastAsia="標楷體" w:hAnsi="標楷體"/>
          <w:sz w:val="22"/>
        </w:rPr>
      </w:pPr>
      <w:r w:rsidRPr="00D568F6">
        <w:rPr>
          <w:rFonts w:ascii="標楷體" w:eastAsia="標楷體" w:hAnsi="標楷體" w:hint="eastAsia"/>
          <w:sz w:val="22"/>
        </w:rPr>
        <w:t>第六條</w:t>
      </w:r>
      <w:r w:rsidR="00647452">
        <w:rPr>
          <w:rFonts w:ascii="標楷體" w:eastAsia="標楷體" w:hAnsi="標楷體" w:hint="eastAsia"/>
          <w:sz w:val="22"/>
        </w:rPr>
        <w:tab/>
      </w:r>
      <w:r w:rsidRPr="00D568F6">
        <w:rPr>
          <w:rFonts w:ascii="標楷體" w:eastAsia="標楷體" w:hAnsi="標楷體" w:hint="eastAsia"/>
          <w:sz w:val="22"/>
        </w:rPr>
        <w:t>於個別買賣中，賣方應保證於買進日交付買方之債券，無任何瑕疵負擔或足以影響買方取得所有權；買方應保證於</w:t>
      </w:r>
      <w:proofErr w:type="gramStart"/>
      <w:r w:rsidRPr="00D568F6">
        <w:rPr>
          <w:rFonts w:ascii="標楷體" w:eastAsia="標楷體" w:hAnsi="標楷體" w:hint="eastAsia"/>
          <w:sz w:val="22"/>
        </w:rPr>
        <w:t>賣還日交付</w:t>
      </w:r>
      <w:proofErr w:type="gramEnd"/>
      <w:r w:rsidRPr="00D568F6">
        <w:rPr>
          <w:rFonts w:ascii="標楷體" w:eastAsia="標楷體" w:hAnsi="標楷體" w:hint="eastAsia"/>
          <w:sz w:val="22"/>
        </w:rPr>
        <w:t>賣方之標的債券，無任何瑕疵負擔或足以影響賣方回復其所有權。</w:t>
      </w:r>
    </w:p>
    <w:p w:rsidR="001A3E80" w:rsidRPr="00D568F6" w:rsidRDefault="001A3E80" w:rsidP="000E2C82">
      <w:pPr>
        <w:ind w:left="1133" w:hangingChars="515" w:hanging="1133"/>
        <w:rPr>
          <w:rFonts w:ascii="標楷體" w:eastAsia="標楷體" w:hAnsi="標楷體"/>
          <w:sz w:val="22"/>
        </w:rPr>
      </w:pPr>
      <w:r w:rsidRPr="00D568F6">
        <w:rPr>
          <w:rFonts w:ascii="標楷體" w:eastAsia="標楷體" w:hAnsi="標楷體" w:hint="eastAsia"/>
          <w:sz w:val="22"/>
        </w:rPr>
        <w:t>第七條</w:t>
      </w:r>
      <w:r w:rsidR="00647452">
        <w:rPr>
          <w:rFonts w:ascii="標楷體" w:eastAsia="標楷體" w:hAnsi="標楷體" w:hint="eastAsia"/>
          <w:sz w:val="22"/>
        </w:rPr>
        <w:tab/>
      </w:r>
      <w:proofErr w:type="gramStart"/>
      <w:r w:rsidRPr="00D568F6">
        <w:rPr>
          <w:rFonts w:ascii="標楷體" w:eastAsia="標楷體" w:hAnsi="標楷體" w:hint="eastAsia"/>
          <w:sz w:val="22"/>
        </w:rPr>
        <w:t>一</w:t>
      </w:r>
      <w:proofErr w:type="gramEnd"/>
      <w:r w:rsidRPr="00D568F6">
        <w:rPr>
          <w:rFonts w:ascii="標楷體" w:eastAsia="標楷體" w:hAnsi="標楷體" w:hint="eastAsia"/>
          <w:sz w:val="22"/>
        </w:rPr>
        <w:t>方發生下列情事者，構成違約：</w:t>
      </w:r>
    </w:p>
    <w:p w:rsidR="001A3E80" w:rsidRPr="000E2C82" w:rsidRDefault="001A3E80" w:rsidP="000E2C82">
      <w:pPr>
        <w:pStyle w:val="a3"/>
        <w:numPr>
          <w:ilvl w:val="0"/>
          <w:numId w:val="6"/>
        </w:numPr>
        <w:ind w:leftChars="0"/>
        <w:rPr>
          <w:rFonts w:ascii="標楷體" w:eastAsia="標楷體" w:hAnsi="標楷體"/>
          <w:sz w:val="22"/>
        </w:rPr>
      </w:pPr>
      <w:r w:rsidRPr="000E2C82">
        <w:rPr>
          <w:rFonts w:ascii="標楷體" w:eastAsia="標楷體" w:hAnsi="標楷體" w:hint="eastAsia"/>
          <w:sz w:val="22"/>
        </w:rPr>
        <w:t>買方未於買進日支付買價予賣方，或未於</w:t>
      </w:r>
      <w:proofErr w:type="gramStart"/>
      <w:r w:rsidRPr="000E2C82">
        <w:rPr>
          <w:rFonts w:ascii="標楷體" w:eastAsia="標楷體" w:hAnsi="標楷體" w:hint="eastAsia"/>
          <w:sz w:val="22"/>
        </w:rPr>
        <w:t>賣還日交付</w:t>
      </w:r>
      <w:proofErr w:type="gramEnd"/>
      <w:r w:rsidRPr="000E2C82">
        <w:rPr>
          <w:rFonts w:ascii="標楷體" w:eastAsia="標楷體" w:hAnsi="標楷體" w:hint="eastAsia"/>
          <w:sz w:val="22"/>
        </w:rPr>
        <w:t>標的債券予賣方。</w:t>
      </w:r>
    </w:p>
    <w:p w:rsidR="001A3E80" w:rsidRPr="000E2C82" w:rsidRDefault="001A3E80" w:rsidP="000E2C82">
      <w:pPr>
        <w:pStyle w:val="a3"/>
        <w:numPr>
          <w:ilvl w:val="0"/>
          <w:numId w:val="6"/>
        </w:numPr>
        <w:ind w:leftChars="0"/>
        <w:rPr>
          <w:rFonts w:ascii="標楷體" w:eastAsia="標楷體" w:hAnsi="標楷體"/>
          <w:sz w:val="22"/>
        </w:rPr>
      </w:pPr>
      <w:r w:rsidRPr="000E2C82">
        <w:rPr>
          <w:rFonts w:ascii="標楷體" w:eastAsia="標楷體" w:hAnsi="標楷體" w:hint="eastAsia"/>
          <w:sz w:val="22"/>
        </w:rPr>
        <w:t>賣方未於買進日交付標的債券予買方，或未於</w:t>
      </w:r>
      <w:proofErr w:type="gramStart"/>
      <w:r w:rsidRPr="000E2C82">
        <w:rPr>
          <w:rFonts w:ascii="標楷體" w:eastAsia="標楷體" w:hAnsi="標楷體" w:hint="eastAsia"/>
          <w:sz w:val="22"/>
        </w:rPr>
        <w:t>賣還日支付</w:t>
      </w:r>
      <w:proofErr w:type="gramEnd"/>
      <w:r w:rsidRPr="000E2C82">
        <w:rPr>
          <w:rFonts w:ascii="標楷體" w:eastAsia="標楷體" w:hAnsi="標楷體" w:hint="eastAsia"/>
          <w:sz w:val="22"/>
        </w:rPr>
        <w:t>賣還價金予買方。</w:t>
      </w:r>
    </w:p>
    <w:p w:rsidR="001A3E80" w:rsidRPr="000E2C82" w:rsidRDefault="001A3E80" w:rsidP="000E2C82">
      <w:pPr>
        <w:pStyle w:val="a3"/>
        <w:numPr>
          <w:ilvl w:val="0"/>
          <w:numId w:val="6"/>
        </w:numPr>
        <w:ind w:leftChars="0"/>
        <w:rPr>
          <w:rFonts w:ascii="標楷體" w:eastAsia="標楷體" w:hAnsi="標楷體"/>
          <w:sz w:val="22"/>
        </w:rPr>
      </w:pPr>
      <w:proofErr w:type="gramStart"/>
      <w:r w:rsidRPr="000E2C82">
        <w:rPr>
          <w:rFonts w:ascii="標楷體" w:eastAsia="標楷體" w:hAnsi="標楷體" w:hint="eastAsia"/>
          <w:sz w:val="22"/>
        </w:rPr>
        <w:t>一</w:t>
      </w:r>
      <w:proofErr w:type="gramEnd"/>
      <w:r w:rsidRPr="000E2C82">
        <w:rPr>
          <w:rFonts w:ascii="標楷體" w:eastAsia="標楷體" w:hAnsi="標楷體" w:hint="eastAsia"/>
          <w:sz w:val="22"/>
        </w:rPr>
        <w:t>方向他方表示不能或不願履行個別契約之相關義務者。</w:t>
      </w:r>
    </w:p>
    <w:p w:rsidR="00647452" w:rsidRPr="000E2C82" w:rsidRDefault="001A3E80" w:rsidP="000E2C82">
      <w:pPr>
        <w:pStyle w:val="a3"/>
        <w:numPr>
          <w:ilvl w:val="0"/>
          <w:numId w:val="6"/>
        </w:numPr>
        <w:ind w:leftChars="0"/>
        <w:rPr>
          <w:rFonts w:ascii="標楷體" w:eastAsia="標楷體" w:hAnsi="標楷體"/>
          <w:sz w:val="22"/>
        </w:rPr>
      </w:pPr>
      <w:r w:rsidRPr="000E2C82">
        <w:rPr>
          <w:rFonts w:ascii="標楷體" w:eastAsia="標楷體" w:hAnsi="標楷體" w:hint="eastAsia"/>
          <w:sz w:val="22"/>
        </w:rPr>
        <w:t>一方有重整、清算、解散、破產、合併、暫停營業、受強制執行而對於到期之債務恐無償付能力之虞，或有開始進行上述各該程序之情事、被票據交換所宣告拒絕往來、經其業務主管機關對其公司或分支機構為營業許可撤銷之處分，或有其他足以影響雙方履行契約之重大情事者。</w:t>
      </w:r>
    </w:p>
    <w:p w:rsidR="00A36C1C" w:rsidRPr="00647452" w:rsidRDefault="001A3E80" w:rsidP="003B0FEE">
      <w:pPr>
        <w:ind w:left="1133" w:hangingChars="515" w:hanging="1133"/>
        <w:rPr>
          <w:rFonts w:ascii="標楷體" w:eastAsia="標楷體" w:hAnsi="標楷體"/>
          <w:sz w:val="22"/>
        </w:rPr>
      </w:pPr>
      <w:r w:rsidRPr="00647452">
        <w:rPr>
          <w:rFonts w:ascii="標楷體" w:eastAsia="標楷體" w:hAnsi="標楷體" w:hint="eastAsia"/>
          <w:sz w:val="22"/>
        </w:rPr>
        <w:t>第八條</w:t>
      </w:r>
      <w:r w:rsidR="00647452" w:rsidRPr="00647452">
        <w:rPr>
          <w:rFonts w:ascii="標楷體" w:eastAsia="標楷體" w:hAnsi="標楷體" w:hint="eastAsia"/>
          <w:sz w:val="22"/>
        </w:rPr>
        <w:tab/>
      </w:r>
      <w:r w:rsidRPr="00647452">
        <w:rPr>
          <w:rFonts w:ascii="標楷體" w:eastAsia="標楷體" w:hAnsi="標楷體" w:hint="eastAsia"/>
          <w:sz w:val="22"/>
        </w:rPr>
        <w:t>買方未於買進日依約支付買價予賣方者：</w:t>
      </w:r>
    </w:p>
    <w:p w:rsidR="00A36C1C" w:rsidRDefault="001A3E80" w:rsidP="003B0FEE">
      <w:pPr>
        <w:ind w:leftChars="469" w:left="1676" w:hangingChars="250" w:hanging="550"/>
        <w:rPr>
          <w:rFonts w:ascii="標楷體" w:eastAsia="標楷體" w:hAnsi="標楷體"/>
          <w:sz w:val="22"/>
        </w:rPr>
      </w:pPr>
      <w:r w:rsidRPr="00A67AFF">
        <w:rPr>
          <w:rFonts w:ascii="標楷體" w:eastAsia="標楷體" w:hAnsi="標楷體" w:hint="eastAsia"/>
          <w:sz w:val="22"/>
        </w:rPr>
        <w:t>（一）賣方得解除個別契約，雙方款</w:t>
      </w:r>
      <w:proofErr w:type="gramStart"/>
      <w:r w:rsidRPr="00A67AFF">
        <w:rPr>
          <w:rFonts w:ascii="標楷體" w:eastAsia="標楷體" w:hAnsi="標楷體" w:hint="eastAsia"/>
          <w:sz w:val="22"/>
        </w:rPr>
        <w:t>券</w:t>
      </w:r>
      <w:proofErr w:type="gramEnd"/>
      <w:r w:rsidRPr="00A67AFF">
        <w:rPr>
          <w:rFonts w:ascii="標楷體" w:eastAsia="標楷體" w:hAnsi="標楷體" w:hint="eastAsia"/>
          <w:sz w:val="22"/>
        </w:rPr>
        <w:t>交付義務即告終止；且</w:t>
      </w:r>
    </w:p>
    <w:p w:rsidR="00A36C1C" w:rsidRDefault="001A3E80" w:rsidP="003B0FEE">
      <w:pPr>
        <w:ind w:leftChars="469" w:left="1676" w:hangingChars="250" w:hanging="550"/>
        <w:rPr>
          <w:rFonts w:ascii="標楷體" w:eastAsia="標楷體" w:hAnsi="標楷體"/>
          <w:sz w:val="22"/>
        </w:rPr>
      </w:pPr>
      <w:r w:rsidRPr="00D568F6">
        <w:rPr>
          <w:rFonts w:ascii="標楷體" w:eastAsia="標楷體" w:hAnsi="標楷體" w:hint="eastAsia"/>
          <w:sz w:val="22"/>
        </w:rPr>
        <w:t>（二）如賣方已交付標的債券予買方者，買方應立即全額退還標的債券予賣方；且</w:t>
      </w:r>
    </w:p>
    <w:p w:rsidR="001A3E80" w:rsidRPr="00D568F6" w:rsidRDefault="001A3E80" w:rsidP="003B0FEE">
      <w:pPr>
        <w:ind w:leftChars="469" w:left="1676" w:hangingChars="250" w:hanging="550"/>
        <w:rPr>
          <w:rFonts w:ascii="標楷體" w:eastAsia="標楷體" w:hAnsi="標楷體"/>
          <w:sz w:val="22"/>
        </w:rPr>
      </w:pPr>
      <w:r w:rsidRPr="00D568F6">
        <w:rPr>
          <w:rFonts w:ascii="標楷體" w:eastAsia="標楷體" w:hAnsi="標楷體" w:hint="eastAsia"/>
          <w:sz w:val="22"/>
        </w:rPr>
        <w:t>（三）買方應支付賣方以該個別契約約定之買價為本金，按「</w:t>
      </w:r>
      <w:r w:rsidR="00A36C1C" w:rsidRPr="00D568F6">
        <w:rPr>
          <w:rFonts w:ascii="標楷體" w:eastAsia="標楷體" w:hAnsi="標楷體" w:hint="eastAsia"/>
          <w:sz w:val="22"/>
        </w:rPr>
        <w:t>台灣銀行基本放款</w:t>
      </w:r>
      <w:r w:rsidRPr="00D568F6">
        <w:rPr>
          <w:rFonts w:ascii="標楷體" w:eastAsia="標楷體" w:hAnsi="標楷體" w:hint="eastAsia"/>
          <w:sz w:val="22"/>
        </w:rPr>
        <w:t>」利率為基數，計算一日之利息，作為賠償金額。</w:t>
      </w:r>
    </w:p>
    <w:p w:rsidR="00A36C1C" w:rsidRDefault="001A3E80" w:rsidP="003B0FEE">
      <w:pPr>
        <w:ind w:left="1133" w:hangingChars="515" w:hanging="1133"/>
        <w:rPr>
          <w:rFonts w:ascii="標楷體" w:eastAsia="標楷體" w:hAnsi="標楷體"/>
          <w:sz w:val="22"/>
        </w:rPr>
      </w:pPr>
      <w:r w:rsidRPr="00D568F6">
        <w:rPr>
          <w:rFonts w:ascii="標楷體" w:eastAsia="標楷體" w:hAnsi="標楷體" w:hint="eastAsia"/>
          <w:sz w:val="22"/>
        </w:rPr>
        <w:t>第九條</w:t>
      </w:r>
      <w:r w:rsidR="00647452">
        <w:rPr>
          <w:rFonts w:ascii="標楷體" w:eastAsia="標楷體" w:hAnsi="標楷體" w:hint="eastAsia"/>
          <w:sz w:val="22"/>
        </w:rPr>
        <w:tab/>
      </w:r>
      <w:r w:rsidRPr="00D568F6">
        <w:rPr>
          <w:rFonts w:ascii="標楷體" w:eastAsia="標楷體" w:hAnsi="標楷體" w:hint="eastAsia"/>
          <w:sz w:val="22"/>
        </w:rPr>
        <w:t>賣方未於買進日依約交付標的債券予買方者：</w:t>
      </w:r>
    </w:p>
    <w:p w:rsidR="00A36C1C" w:rsidRDefault="001A3E80" w:rsidP="003B0FEE">
      <w:pPr>
        <w:ind w:leftChars="469" w:left="1676" w:hangingChars="250" w:hanging="550"/>
        <w:rPr>
          <w:rFonts w:ascii="標楷體" w:eastAsia="標楷體" w:hAnsi="標楷體"/>
          <w:sz w:val="22"/>
        </w:rPr>
      </w:pPr>
      <w:r w:rsidRPr="00D568F6">
        <w:rPr>
          <w:rFonts w:ascii="標楷體" w:eastAsia="標楷體" w:hAnsi="標楷體" w:hint="eastAsia"/>
          <w:sz w:val="22"/>
        </w:rPr>
        <w:t>（一）買方得解除個別契約，雙方款</w:t>
      </w:r>
      <w:proofErr w:type="gramStart"/>
      <w:r w:rsidRPr="00D568F6">
        <w:rPr>
          <w:rFonts w:ascii="標楷體" w:eastAsia="標楷體" w:hAnsi="標楷體" w:hint="eastAsia"/>
          <w:sz w:val="22"/>
        </w:rPr>
        <w:t>券</w:t>
      </w:r>
      <w:proofErr w:type="gramEnd"/>
      <w:r w:rsidRPr="00D568F6">
        <w:rPr>
          <w:rFonts w:ascii="標楷體" w:eastAsia="標楷體" w:hAnsi="標楷體" w:hint="eastAsia"/>
          <w:sz w:val="22"/>
        </w:rPr>
        <w:t>交付義務即告終止；且</w:t>
      </w:r>
    </w:p>
    <w:p w:rsidR="00A36C1C" w:rsidRDefault="001A3E80" w:rsidP="003B0FEE">
      <w:pPr>
        <w:ind w:leftChars="469" w:left="1676" w:hangingChars="250" w:hanging="550"/>
        <w:rPr>
          <w:rFonts w:ascii="標楷體" w:eastAsia="標楷體" w:hAnsi="標楷體"/>
          <w:sz w:val="22"/>
        </w:rPr>
      </w:pPr>
      <w:r w:rsidRPr="00D568F6">
        <w:rPr>
          <w:rFonts w:ascii="標楷體" w:eastAsia="標楷體" w:hAnsi="標楷體" w:hint="eastAsia"/>
          <w:sz w:val="22"/>
        </w:rPr>
        <w:lastRenderedPageBreak/>
        <w:t>（二）如買方已給付買價予賣方者，賣方應立即全額退還買價予買方；且</w:t>
      </w:r>
    </w:p>
    <w:p w:rsidR="001A3E80" w:rsidRPr="00D568F6" w:rsidRDefault="001A3E80" w:rsidP="003B0FEE">
      <w:pPr>
        <w:ind w:leftChars="469" w:left="1676" w:hangingChars="250" w:hanging="550"/>
        <w:rPr>
          <w:rFonts w:ascii="標楷體" w:eastAsia="標楷體" w:hAnsi="標楷體"/>
          <w:sz w:val="22"/>
        </w:rPr>
      </w:pPr>
      <w:r w:rsidRPr="00D568F6">
        <w:rPr>
          <w:rFonts w:ascii="標楷體" w:eastAsia="標楷體" w:hAnsi="標楷體" w:hint="eastAsia"/>
          <w:sz w:val="22"/>
        </w:rPr>
        <w:t>（三）賣方應支付買方以該個別契約約定之買價為本金，按「</w:t>
      </w:r>
      <w:r w:rsidR="00A36C1C" w:rsidRPr="00D568F6">
        <w:rPr>
          <w:rFonts w:ascii="標楷體" w:eastAsia="標楷體" w:hAnsi="標楷體" w:hint="eastAsia"/>
          <w:sz w:val="22"/>
        </w:rPr>
        <w:t>台灣銀行基本放款</w:t>
      </w:r>
      <w:r w:rsidRPr="00D568F6">
        <w:rPr>
          <w:rFonts w:ascii="標楷體" w:eastAsia="標楷體" w:hAnsi="標楷體" w:hint="eastAsia"/>
          <w:sz w:val="22"/>
        </w:rPr>
        <w:t>」利率為基數 ，計算一日之利息，作為賠償金額。</w:t>
      </w:r>
    </w:p>
    <w:p w:rsidR="001A3E80" w:rsidRPr="00D568F6" w:rsidRDefault="001A3E80" w:rsidP="003B0FEE">
      <w:pPr>
        <w:ind w:left="1133" w:hangingChars="515" w:hanging="1133"/>
        <w:rPr>
          <w:rFonts w:ascii="標楷體" w:eastAsia="標楷體" w:hAnsi="標楷體"/>
          <w:sz w:val="22"/>
        </w:rPr>
      </w:pPr>
      <w:r w:rsidRPr="00D568F6">
        <w:rPr>
          <w:rFonts w:ascii="標楷體" w:eastAsia="標楷體" w:hAnsi="標楷體" w:hint="eastAsia"/>
          <w:sz w:val="22"/>
        </w:rPr>
        <w:t>第十條</w:t>
      </w:r>
      <w:r w:rsidR="00647452">
        <w:rPr>
          <w:rFonts w:ascii="標楷體" w:eastAsia="標楷體" w:hAnsi="標楷體" w:hint="eastAsia"/>
          <w:sz w:val="22"/>
        </w:rPr>
        <w:tab/>
      </w:r>
      <w:r w:rsidRPr="00D568F6">
        <w:rPr>
          <w:rFonts w:ascii="標楷體" w:eastAsia="標楷體" w:hAnsi="標楷體" w:hint="eastAsia"/>
          <w:sz w:val="22"/>
        </w:rPr>
        <w:t>買方未於</w:t>
      </w:r>
      <w:proofErr w:type="gramStart"/>
      <w:r w:rsidRPr="00D568F6">
        <w:rPr>
          <w:rFonts w:ascii="標楷體" w:eastAsia="標楷體" w:hAnsi="標楷體" w:hint="eastAsia"/>
          <w:sz w:val="22"/>
        </w:rPr>
        <w:t>賣還日依約</w:t>
      </w:r>
      <w:proofErr w:type="gramEnd"/>
      <w:r w:rsidRPr="00D568F6">
        <w:rPr>
          <w:rFonts w:ascii="標楷體" w:eastAsia="標楷體" w:hAnsi="標楷體" w:hint="eastAsia"/>
          <w:sz w:val="22"/>
        </w:rPr>
        <w:t>交付標的債券予賣方者：</w:t>
      </w:r>
    </w:p>
    <w:p w:rsidR="001A3E80" w:rsidRPr="00D568F6" w:rsidRDefault="001A3E80" w:rsidP="003B0FEE">
      <w:pPr>
        <w:ind w:leftChars="469" w:left="1676" w:hangingChars="250" w:hanging="550"/>
        <w:rPr>
          <w:rFonts w:ascii="標楷體" w:eastAsia="標楷體" w:hAnsi="標楷體"/>
          <w:sz w:val="22"/>
        </w:rPr>
      </w:pPr>
      <w:r w:rsidRPr="00D568F6">
        <w:rPr>
          <w:rFonts w:ascii="標楷體" w:eastAsia="標楷體" w:hAnsi="標楷體" w:hint="eastAsia"/>
          <w:sz w:val="22"/>
        </w:rPr>
        <w:t>（一）賣方得終止個別契約，雙方款</w:t>
      </w:r>
      <w:proofErr w:type="gramStart"/>
      <w:r w:rsidRPr="00D568F6">
        <w:rPr>
          <w:rFonts w:ascii="標楷體" w:eastAsia="標楷體" w:hAnsi="標楷體" w:hint="eastAsia"/>
          <w:sz w:val="22"/>
        </w:rPr>
        <w:t>券</w:t>
      </w:r>
      <w:proofErr w:type="gramEnd"/>
      <w:r w:rsidRPr="00D568F6">
        <w:rPr>
          <w:rFonts w:ascii="標楷體" w:eastAsia="標楷體" w:hAnsi="標楷體" w:hint="eastAsia"/>
          <w:sz w:val="22"/>
        </w:rPr>
        <w:t>交付義務即告終止；且</w:t>
      </w:r>
    </w:p>
    <w:p w:rsidR="001A3E80" w:rsidRPr="00D568F6" w:rsidRDefault="001A3E80" w:rsidP="003B0FEE">
      <w:pPr>
        <w:ind w:leftChars="469" w:left="1676" w:hangingChars="250" w:hanging="550"/>
        <w:rPr>
          <w:rFonts w:ascii="標楷體" w:eastAsia="標楷體" w:hAnsi="標楷體"/>
          <w:sz w:val="22"/>
        </w:rPr>
      </w:pPr>
      <w:r w:rsidRPr="00D568F6">
        <w:rPr>
          <w:rFonts w:ascii="標楷體" w:eastAsia="標楷體" w:hAnsi="標楷體" w:hint="eastAsia"/>
          <w:sz w:val="22"/>
        </w:rPr>
        <w:t>（二）如賣方已給付賣還價金予買方者，買方應立即全額退還賣還價金予賣方；且</w:t>
      </w:r>
    </w:p>
    <w:p w:rsidR="001A3E80" w:rsidRPr="00D568F6" w:rsidRDefault="001A3E80" w:rsidP="003B0FEE">
      <w:pPr>
        <w:ind w:leftChars="469" w:left="1676" w:hangingChars="250" w:hanging="550"/>
        <w:rPr>
          <w:rFonts w:ascii="標楷體" w:eastAsia="標楷體" w:hAnsi="標楷體"/>
          <w:sz w:val="22"/>
        </w:rPr>
      </w:pPr>
      <w:r w:rsidRPr="00D568F6">
        <w:rPr>
          <w:rFonts w:ascii="標楷體" w:eastAsia="標楷體" w:hAnsi="標楷體" w:hint="eastAsia"/>
          <w:sz w:val="22"/>
        </w:rPr>
        <w:t>（三）賣方得買入同種類、同數量之債券以為替代，如其費用高於賣還價金時，其差額應即由買方負擔；賣方依本款買入債券者，應即委託中央公債主要交易商辦理。</w:t>
      </w:r>
    </w:p>
    <w:p w:rsidR="001A3E80" w:rsidRPr="00D568F6" w:rsidRDefault="001A3E80" w:rsidP="003B0FEE">
      <w:pPr>
        <w:ind w:left="1133" w:hangingChars="515" w:hanging="1133"/>
        <w:rPr>
          <w:rFonts w:ascii="標楷體" w:eastAsia="標楷體" w:hAnsi="標楷體"/>
          <w:sz w:val="22"/>
        </w:rPr>
      </w:pPr>
      <w:r w:rsidRPr="00D568F6">
        <w:rPr>
          <w:rFonts w:ascii="標楷體" w:eastAsia="標楷體" w:hAnsi="標楷體" w:hint="eastAsia"/>
          <w:sz w:val="22"/>
        </w:rPr>
        <w:t>第十一條</w:t>
      </w:r>
      <w:r w:rsidR="00647452">
        <w:rPr>
          <w:rFonts w:ascii="標楷體" w:eastAsia="標楷體" w:hAnsi="標楷體" w:hint="eastAsia"/>
          <w:sz w:val="22"/>
        </w:rPr>
        <w:tab/>
      </w:r>
      <w:r w:rsidRPr="00D568F6">
        <w:rPr>
          <w:rFonts w:ascii="標楷體" w:eastAsia="標楷體" w:hAnsi="標楷體" w:hint="eastAsia"/>
          <w:sz w:val="22"/>
        </w:rPr>
        <w:t>賣方未於</w:t>
      </w:r>
      <w:proofErr w:type="gramStart"/>
      <w:r w:rsidRPr="00D568F6">
        <w:rPr>
          <w:rFonts w:ascii="標楷體" w:eastAsia="標楷體" w:hAnsi="標楷體" w:hint="eastAsia"/>
          <w:sz w:val="22"/>
        </w:rPr>
        <w:t>賣還日依約</w:t>
      </w:r>
      <w:proofErr w:type="gramEnd"/>
      <w:r w:rsidRPr="00D568F6">
        <w:rPr>
          <w:rFonts w:ascii="標楷體" w:eastAsia="標楷體" w:hAnsi="標楷體" w:hint="eastAsia"/>
          <w:sz w:val="22"/>
        </w:rPr>
        <w:t>支付賣還價金予買方者：</w:t>
      </w:r>
    </w:p>
    <w:p w:rsidR="001A3E80" w:rsidRPr="00D568F6" w:rsidRDefault="001A3E80" w:rsidP="003B0FEE">
      <w:pPr>
        <w:ind w:leftChars="469" w:left="1676" w:hangingChars="250" w:hanging="550"/>
        <w:rPr>
          <w:rFonts w:ascii="標楷體" w:eastAsia="標楷體" w:hAnsi="標楷體"/>
          <w:sz w:val="22"/>
        </w:rPr>
      </w:pPr>
      <w:r w:rsidRPr="00D568F6">
        <w:rPr>
          <w:rFonts w:ascii="標楷體" w:eastAsia="標楷體" w:hAnsi="標楷體" w:hint="eastAsia"/>
          <w:sz w:val="22"/>
        </w:rPr>
        <w:t>（一）買方得終止個別契約，雙方款</w:t>
      </w:r>
      <w:proofErr w:type="gramStart"/>
      <w:r w:rsidRPr="00D568F6">
        <w:rPr>
          <w:rFonts w:ascii="標楷體" w:eastAsia="標楷體" w:hAnsi="標楷體" w:hint="eastAsia"/>
          <w:sz w:val="22"/>
        </w:rPr>
        <w:t>券</w:t>
      </w:r>
      <w:proofErr w:type="gramEnd"/>
      <w:r w:rsidRPr="00D568F6">
        <w:rPr>
          <w:rFonts w:ascii="標楷體" w:eastAsia="標楷體" w:hAnsi="標楷體" w:hint="eastAsia"/>
          <w:sz w:val="22"/>
        </w:rPr>
        <w:t>交付義務即告終止；且</w:t>
      </w:r>
    </w:p>
    <w:p w:rsidR="001A3E80" w:rsidRPr="00D568F6" w:rsidRDefault="001A3E80" w:rsidP="003B0FEE">
      <w:pPr>
        <w:ind w:leftChars="469" w:left="1676" w:hangingChars="250" w:hanging="550"/>
        <w:rPr>
          <w:rFonts w:ascii="標楷體" w:eastAsia="標楷體" w:hAnsi="標楷體"/>
          <w:sz w:val="22"/>
        </w:rPr>
      </w:pPr>
      <w:r w:rsidRPr="00D568F6">
        <w:rPr>
          <w:rFonts w:ascii="標楷體" w:eastAsia="標楷體" w:hAnsi="標楷體" w:hint="eastAsia"/>
          <w:sz w:val="22"/>
        </w:rPr>
        <w:t>（二）如買方已交付標的債券予賣方者，賣方應立即全額退還標的債券予買方；且</w:t>
      </w:r>
    </w:p>
    <w:p w:rsidR="001A3E80" w:rsidRPr="00D568F6" w:rsidRDefault="001A3E80" w:rsidP="003B0FEE">
      <w:pPr>
        <w:ind w:leftChars="469" w:left="1676" w:hangingChars="250" w:hanging="550"/>
        <w:rPr>
          <w:rFonts w:ascii="標楷體" w:eastAsia="標楷體" w:hAnsi="標楷體"/>
          <w:sz w:val="22"/>
        </w:rPr>
      </w:pPr>
      <w:r w:rsidRPr="00D568F6">
        <w:rPr>
          <w:rFonts w:ascii="標楷體" w:eastAsia="標楷體" w:hAnsi="標楷體" w:hint="eastAsia"/>
          <w:sz w:val="22"/>
        </w:rPr>
        <w:t>（三）買方得於市場處分標的債券，所得之價款低於原約定之賣還價金時，其差額應即由賣方負擔；買方依本款處分標的債券者，應即委託中央公債主要交易商辦理。</w:t>
      </w:r>
    </w:p>
    <w:p w:rsidR="001A3E80" w:rsidRPr="00D568F6" w:rsidRDefault="001A3E80" w:rsidP="003B0FEE">
      <w:pPr>
        <w:ind w:left="1133" w:hangingChars="515" w:hanging="1133"/>
        <w:rPr>
          <w:rFonts w:ascii="標楷體" w:eastAsia="標楷體" w:hAnsi="標楷體"/>
          <w:sz w:val="22"/>
        </w:rPr>
      </w:pPr>
      <w:r w:rsidRPr="00D568F6">
        <w:rPr>
          <w:rFonts w:ascii="標楷體" w:eastAsia="標楷體" w:hAnsi="標楷體" w:hint="eastAsia"/>
          <w:sz w:val="22"/>
        </w:rPr>
        <w:t>第十二條</w:t>
      </w:r>
      <w:r w:rsidR="00647452">
        <w:rPr>
          <w:rFonts w:ascii="標楷體" w:eastAsia="標楷體" w:hAnsi="標楷體" w:hint="eastAsia"/>
          <w:sz w:val="22"/>
        </w:rPr>
        <w:tab/>
      </w:r>
      <w:r w:rsidRPr="00D568F6">
        <w:rPr>
          <w:rFonts w:ascii="標楷體" w:eastAsia="標楷體" w:hAnsi="標楷體" w:hint="eastAsia"/>
          <w:sz w:val="22"/>
        </w:rPr>
        <w:t>第十條及第十一條之情形，非違約之他方得向違約之一方請求給付他方自賣</w:t>
      </w:r>
      <w:proofErr w:type="gramStart"/>
      <w:r w:rsidRPr="00D568F6">
        <w:rPr>
          <w:rFonts w:ascii="標楷體" w:eastAsia="標楷體" w:hAnsi="標楷體" w:hint="eastAsia"/>
          <w:sz w:val="22"/>
        </w:rPr>
        <w:t>還日起至購</w:t>
      </w:r>
      <w:proofErr w:type="gramEnd"/>
      <w:r w:rsidRPr="00D568F6">
        <w:rPr>
          <w:rFonts w:ascii="標楷體" w:eastAsia="標楷體" w:hAnsi="標楷體" w:hint="eastAsia"/>
          <w:sz w:val="22"/>
        </w:rPr>
        <w:t>入替代債券或處分當日止，以標的債券票面金額為本金，</w:t>
      </w:r>
      <w:proofErr w:type="gramStart"/>
      <w:r w:rsidRPr="00D568F6">
        <w:rPr>
          <w:rFonts w:ascii="標楷體" w:eastAsia="標楷體" w:hAnsi="標楷體" w:hint="eastAsia"/>
          <w:sz w:val="22"/>
        </w:rPr>
        <w:t>按標的</w:t>
      </w:r>
      <w:proofErr w:type="gramEnd"/>
      <w:r w:rsidRPr="00D568F6">
        <w:rPr>
          <w:rFonts w:ascii="標楷體" w:eastAsia="標楷體" w:hAnsi="標楷體" w:hint="eastAsia"/>
          <w:sz w:val="22"/>
        </w:rPr>
        <w:t>債券票面利率為基數，再加計百分之十之利率算得之利息，作為賠償金額。</w:t>
      </w:r>
    </w:p>
    <w:p w:rsidR="001A3E80" w:rsidRPr="00D568F6" w:rsidRDefault="001A3E80" w:rsidP="003B0FEE">
      <w:pPr>
        <w:ind w:left="1133" w:hangingChars="515" w:hanging="1133"/>
        <w:rPr>
          <w:rFonts w:ascii="標楷體" w:eastAsia="標楷體" w:hAnsi="標楷體"/>
          <w:sz w:val="22"/>
        </w:rPr>
      </w:pPr>
      <w:r w:rsidRPr="00D568F6">
        <w:rPr>
          <w:rFonts w:ascii="標楷體" w:eastAsia="標楷體" w:hAnsi="標楷體" w:hint="eastAsia"/>
          <w:sz w:val="22"/>
        </w:rPr>
        <w:t>第十三條</w:t>
      </w:r>
      <w:r w:rsidR="003B0FEE">
        <w:rPr>
          <w:rFonts w:ascii="標楷體" w:eastAsia="標楷體" w:hAnsi="標楷體" w:hint="eastAsia"/>
          <w:sz w:val="22"/>
        </w:rPr>
        <w:tab/>
      </w:r>
      <w:r w:rsidRPr="00D568F6">
        <w:rPr>
          <w:rFonts w:ascii="標楷體" w:eastAsia="標楷體" w:hAnsi="標楷體" w:hint="eastAsia"/>
          <w:sz w:val="22"/>
        </w:rPr>
        <w:t>個別契約之一方有第七條第三款至第四款之情事發生者，他方得向違約之一方通知</w:t>
      </w:r>
      <w:proofErr w:type="gramStart"/>
      <w:r w:rsidRPr="00D568F6">
        <w:rPr>
          <w:rFonts w:ascii="標楷體" w:eastAsia="標楷體" w:hAnsi="標楷體" w:hint="eastAsia"/>
          <w:sz w:val="22"/>
        </w:rPr>
        <w:t>終止本總契約</w:t>
      </w:r>
      <w:proofErr w:type="gramEnd"/>
      <w:r w:rsidRPr="00D568F6">
        <w:rPr>
          <w:rFonts w:ascii="標楷體" w:eastAsia="標楷體" w:hAnsi="標楷體" w:hint="eastAsia"/>
          <w:sz w:val="22"/>
        </w:rPr>
        <w:t>或個別契約，並得請求損害賠償。</w:t>
      </w:r>
    </w:p>
    <w:p w:rsidR="001A3E80" w:rsidRPr="00D568F6" w:rsidRDefault="001A3E80" w:rsidP="003B0FEE">
      <w:pPr>
        <w:ind w:left="1133" w:hangingChars="515" w:hanging="1133"/>
        <w:rPr>
          <w:rFonts w:ascii="標楷體" w:eastAsia="標楷體" w:hAnsi="標楷體"/>
          <w:sz w:val="22"/>
        </w:rPr>
      </w:pPr>
      <w:r w:rsidRPr="00D568F6">
        <w:rPr>
          <w:rFonts w:ascii="標楷體" w:eastAsia="標楷體" w:hAnsi="標楷體" w:hint="eastAsia"/>
          <w:sz w:val="22"/>
        </w:rPr>
        <w:t>第十四條</w:t>
      </w:r>
      <w:r w:rsidR="003B0FEE">
        <w:rPr>
          <w:rFonts w:ascii="標楷體" w:eastAsia="標楷體" w:hAnsi="標楷體" w:hint="eastAsia"/>
          <w:sz w:val="22"/>
        </w:rPr>
        <w:tab/>
      </w:r>
      <w:r w:rsidRPr="00D568F6">
        <w:rPr>
          <w:rFonts w:ascii="標楷體" w:eastAsia="標楷體" w:hAnsi="標楷體" w:hint="eastAsia"/>
          <w:sz w:val="22"/>
        </w:rPr>
        <w:t>第八條至第十三條之情形，非違約之一方另得向違約方請求給付所有必要之相關費用，並得請求加計自費用支出至獲得給付為止，以其費用為本金依「</w:t>
      </w:r>
      <w:r w:rsidR="00647452">
        <w:rPr>
          <w:rFonts w:ascii="標楷體" w:eastAsia="標楷體" w:hAnsi="標楷體" w:hint="eastAsia"/>
          <w:sz w:val="22"/>
        </w:rPr>
        <w:t>台灣銀行</w:t>
      </w:r>
      <w:r w:rsidRPr="00D568F6">
        <w:rPr>
          <w:rFonts w:ascii="標楷體" w:eastAsia="標楷體" w:hAnsi="標楷體" w:hint="eastAsia"/>
          <w:sz w:val="22"/>
        </w:rPr>
        <w:t>」基本放款利率計算之利息。一方有應給付而未給付他方之款項或債券者，就未給付之款項他方得請求依「</w:t>
      </w:r>
      <w:r w:rsidR="000E2C82">
        <w:rPr>
          <w:rFonts w:ascii="標楷體" w:eastAsia="標楷體" w:hAnsi="標楷體" w:hint="eastAsia"/>
          <w:sz w:val="22"/>
        </w:rPr>
        <w:t>台灣銀行</w:t>
      </w:r>
      <w:r w:rsidRPr="00D568F6">
        <w:rPr>
          <w:rFonts w:ascii="標楷體" w:eastAsia="標楷體" w:hAnsi="標楷體" w:hint="eastAsia"/>
          <w:sz w:val="22"/>
        </w:rPr>
        <w:t>」基本放款利率計算之利息；就未給付之債券，他方得請求依</w:t>
      </w:r>
      <w:r w:rsidR="00144270">
        <w:rPr>
          <w:rFonts w:ascii="標楷體" w:eastAsia="標楷體" w:hAnsi="標楷體" w:hint="eastAsia"/>
          <w:sz w:val="22"/>
        </w:rPr>
        <w:t>「</w:t>
      </w:r>
      <w:r w:rsidRPr="00D568F6">
        <w:rPr>
          <w:rFonts w:ascii="標楷體" w:eastAsia="標楷體" w:hAnsi="標楷體" w:hint="eastAsia"/>
          <w:sz w:val="22"/>
        </w:rPr>
        <w:t>財團法人中華民國證券櫃檯買賣中心公告揭示之行情價格</w:t>
      </w:r>
      <w:r w:rsidR="00144270">
        <w:rPr>
          <w:rFonts w:ascii="標楷體" w:eastAsia="標楷體" w:hAnsi="標楷體" w:hint="eastAsia"/>
          <w:sz w:val="22"/>
        </w:rPr>
        <w:t>」</w:t>
      </w:r>
      <w:r w:rsidRPr="00D568F6">
        <w:rPr>
          <w:rFonts w:ascii="標楷體" w:eastAsia="標楷體" w:hAnsi="標楷體" w:hint="eastAsia"/>
          <w:sz w:val="22"/>
        </w:rPr>
        <w:t>計算之利息。</w:t>
      </w:r>
    </w:p>
    <w:p w:rsidR="001A3E80" w:rsidRPr="00D568F6" w:rsidRDefault="001A3E80" w:rsidP="003B0FEE">
      <w:pPr>
        <w:ind w:left="1133" w:hangingChars="515" w:hanging="1133"/>
        <w:rPr>
          <w:rFonts w:ascii="標楷體" w:eastAsia="標楷體" w:hAnsi="標楷體"/>
          <w:sz w:val="22"/>
        </w:rPr>
      </w:pPr>
      <w:r w:rsidRPr="00D568F6">
        <w:rPr>
          <w:rFonts w:ascii="標楷體" w:eastAsia="標楷體" w:hAnsi="標楷體" w:hint="eastAsia"/>
          <w:sz w:val="22"/>
        </w:rPr>
        <w:t>第十五條</w:t>
      </w:r>
      <w:r w:rsidR="003B0FEE">
        <w:rPr>
          <w:rFonts w:ascii="標楷體" w:eastAsia="標楷體" w:hAnsi="標楷體" w:hint="eastAsia"/>
          <w:sz w:val="22"/>
        </w:rPr>
        <w:tab/>
      </w:r>
      <w:r w:rsidRPr="00D568F6">
        <w:rPr>
          <w:rFonts w:ascii="標楷體" w:eastAsia="標楷體" w:hAnsi="標楷體" w:hint="eastAsia"/>
          <w:sz w:val="22"/>
        </w:rPr>
        <w:t>第八條至第十四條損害賠償之規定，不妨礙雙方另行主張他種損害賠償之計算方式或</w:t>
      </w:r>
      <w:proofErr w:type="gramStart"/>
      <w:r w:rsidRPr="00D568F6">
        <w:rPr>
          <w:rFonts w:ascii="標楷體" w:eastAsia="標楷體" w:hAnsi="標楷體" w:hint="eastAsia"/>
          <w:sz w:val="22"/>
        </w:rPr>
        <w:t>採取本總契約</w:t>
      </w:r>
      <w:proofErr w:type="gramEnd"/>
      <w:r w:rsidRPr="00D568F6">
        <w:rPr>
          <w:rFonts w:ascii="標楷體" w:eastAsia="標楷體" w:hAnsi="標楷體" w:hint="eastAsia"/>
          <w:sz w:val="22"/>
        </w:rPr>
        <w:t>未規定之救濟途徑。</w:t>
      </w:r>
    </w:p>
    <w:p w:rsidR="001A3E80" w:rsidRPr="00D568F6" w:rsidRDefault="001A3E80" w:rsidP="003B0FEE">
      <w:pPr>
        <w:ind w:left="1133" w:hangingChars="515" w:hanging="1133"/>
        <w:rPr>
          <w:rFonts w:ascii="標楷體" w:eastAsia="標楷體" w:hAnsi="標楷體"/>
          <w:sz w:val="22"/>
        </w:rPr>
      </w:pPr>
      <w:r w:rsidRPr="00D568F6">
        <w:rPr>
          <w:rFonts w:ascii="標楷體" w:eastAsia="標楷體" w:hAnsi="標楷體" w:hint="eastAsia"/>
          <w:sz w:val="22"/>
        </w:rPr>
        <w:t>第十六條</w:t>
      </w:r>
      <w:r w:rsidR="003B0FEE">
        <w:rPr>
          <w:rFonts w:ascii="標楷體" w:eastAsia="標楷體" w:hAnsi="標楷體" w:hint="eastAsia"/>
          <w:sz w:val="22"/>
        </w:rPr>
        <w:tab/>
      </w:r>
      <w:proofErr w:type="gramStart"/>
      <w:r w:rsidRPr="00D568F6">
        <w:rPr>
          <w:rFonts w:ascii="標楷體" w:eastAsia="標楷體" w:hAnsi="標楷體" w:hint="eastAsia"/>
          <w:sz w:val="22"/>
        </w:rPr>
        <w:t>本總契約</w:t>
      </w:r>
      <w:proofErr w:type="gramEnd"/>
      <w:r w:rsidRPr="00D568F6">
        <w:rPr>
          <w:rFonts w:ascii="標楷體" w:eastAsia="標楷體" w:hAnsi="標楷體" w:hint="eastAsia"/>
          <w:sz w:val="22"/>
        </w:rPr>
        <w:t>與個別契約之條款，就雙方約定事項，構成唯一合法有效之證據，並取代雙方契約成立前之任何協議；</w:t>
      </w:r>
      <w:proofErr w:type="gramStart"/>
      <w:r w:rsidRPr="00D568F6">
        <w:rPr>
          <w:rFonts w:ascii="標楷體" w:eastAsia="標楷體" w:hAnsi="標楷體" w:hint="eastAsia"/>
          <w:sz w:val="22"/>
        </w:rPr>
        <w:t>本總契約</w:t>
      </w:r>
      <w:proofErr w:type="gramEnd"/>
      <w:r w:rsidRPr="00D568F6">
        <w:rPr>
          <w:rFonts w:ascii="標楷體" w:eastAsia="標楷體" w:hAnsi="標楷體" w:hint="eastAsia"/>
          <w:sz w:val="22"/>
        </w:rPr>
        <w:t>與個別契約如有不符之處，</w:t>
      </w:r>
      <w:proofErr w:type="gramStart"/>
      <w:r w:rsidRPr="00D568F6">
        <w:rPr>
          <w:rFonts w:ascii="標楷體" w:eastAsia="標楷體" w:hAnsi="標楷體" w:hint="eastAsia"/>
          <w:sz w:val="22"/>
        </w:rPr>
        <w:t>以本總契約</w:t>
      </w:r>
      <w:proofErr w:type="gramEnd"/>
      <w:r w:rsidRPr="00D568F6">
        <w:rPr>
          <w:rFonts w:ascii="標楷體" w:eastAsia="標楷體" w:hAnsi="標楷體" w:hint="eastAsia"/>
          <w:sz w:val="22"/>
        </w:rPr>
        <w:t>之約定為</w:t>
      </w:r>
      <w:proofErr w:type="gramStart"/>
      <w:r w:rsidRPr="00D568F6">
        <w:rPr>
          <w:rFonts w:ascii="標楷體" w:eastAsia="標楷體" w:hAnsi="標楷體" w:hint="eastAsia"/>
          <w:sz w:val="22"/>
        </w:rPr>
        <w:t>準</w:t>
      </w:r>
      <w:proofErr w:type="gramEnd"/>
      <w:r w:rsidRPr="00D568F6">
        <w:rPr>
          <w:rFonts w:ascii="標楷體" w:eastAsia="標楷體" w:hAnsi="標楷體" w:hint="eastAsia"/>
          <w:sz w:val="22"/>
        </w:rPr>
        <w:t>。</w:t>
      </w:r>
    </w:p>
    <w:p w:rsidR="001A3E80" w:rsidRPr="00D568F6" w:rsidRDefault="001A3E80" w:rsidP="003B0FEE">
      <w:pPr>
        <w:ind w:left="1133" w:hangingChars="515" w:hanging="1133"/>
        <w:rPr>
          <w:rFonts w:ascii="標楷體" w:eastAsia="標楷體" w:hAnsi="標楷體"/>
          <w:sz w:val="22"/>
        </w:rPr>
      </w:pPr>
      <w:r w:rsidRPr="00D568F6">
        <w:rPr>
          <w:rFonts w:ascii="標楷體" w:eastAsia="標楷體" w:hAnsi="標楷體" w:hint="eastAsia"/>
          <w:sz w:val="22"/>
        </w:rPr>
        <w:t>第十七條</w:t>
      </w:r>
      <w:r w:rsidR="003B0FEE">
        <w:rPr>
          <w:rFonts w:ascii="標楷體" w:eastAsia="標楷體" w:hAnsi="標楷體" w:hint="eastAsia"/>
          <w:sz w:val="22"/>
        </w:rPr>
        <w:tab/>
      </w:r>
      <w:r w:rsidRPr="00D568F6">
        <w:rPr>
          <w:rFonts w:ascii="標楷體" w:eastAsia="標楷體" w:hAnsi="標楷體" w:hint="eastAsia"/>
          <w:sz w:val="22"/>
        </w:rPr>
        <w:t>證券商對於投資人之任何交易資料應予保密，但依法令、主管機關指示、或其他有權機關依法令及契約所為之查詢，不在此限。</w:t>
      </w:r>
    </w:p>
    <w:p w:rsidR="001A3E80" w:rsidRPr="003B0FEE" w:rsidRDefault="001A3E80" w:rsidP="003B0FEE">
      <w:pPr>
        <w:ind w:left="1134" w:hangingChars="515" w:hanging="1134"/>
        <w:rPr>
          <w:rFonts w:ascii="標楷體" w:eastAsia="標楷體" w:hAnsi="標楷體"/>
          <w:b/>
          <w:sz w:val="22"/>
        </w:rPr>
      </w:pPr>
      <w:r w:rsidRPr="003B0FEE">
        <w:rPr>
          <w:rFonts w:ascii="標楷體" w:eastAsia="標楷體" w:hAnsi="標楷體" w:hint="eastAsia"/>
          <w:b/>
          <w:sz w:val="22"/>
        </w:rPr>
        <w:t>第十八條  甲乙雙方如為金融消費者保護法所規範之金融服務業者與金融消費者，雙方同意遵守下列約定：</w:t>
      </w:r>
    </w:p>
    <w:p w:rsidR="001A3E80" w:rsidRPr="003B0FEE" w:rsidRDefault="001A3E80" w:rsidP="003B0FEE">
      <w:pPr>
        <w:pStyle w:val="a3"/>
        <w:numPr>
          <w:ilvl w:val="0"/>
          <w:numId w:val="7"/>
        </w:numPr>
        <w:ind w:leftChars="0"/>
        <w:rPr>
          <w:rFonts w:ascii="標楷體" w:eastAsia="標楷體" w:hAnsi="標楷體"/>
          <w:b/>
          <w:sz w:val="22"/>
        </w:rPr>
      </w:pPr>
      <w:r w:rsidRPr="003B0FEE">
        <w:rPr>
          <w:rFonts w:ascii="標楷體" w:eastAsia="標楷體" w:hAnsi="標楷體" w:hint="eastAsia"/>
          <w:b/>
          <w:sz w:val="22"/>
        </w:rPr>
        <w:t>甲乙雙方應本公平合理、平等互惠及誠信原則訂立本契約，</w:t>
      </w:r>
      <w:proofErr w:type="gramStart"/>
      <w:r w:rsidRPr="003B0FEE">
        <w:rPr>
          <w:rFonts w:ascii="標楷體" w:eastAsia="標楷體" w:hAnsi="標楷體" w:hint="eastAsia"/>
          <w:b/>
          <w:sz w:val="22"/>
        </w:rPr>
        <w:t>惟所訂立</w:t>
      </w:r>
      <w:proofErr w:type="gramEnd"/>
      <w:r w:rsidRPr="003B0FEE">
        <w:rPr>
          <w:rFonts w:ascii="標楷體" w:eastAsia="標楷體" w:hAnsi="標楷體" w:hint="eastAsia"/>
          <w:b/>
          <w:sz w:val="22"/>
        </w:rPr>
        <w:t>之契約條款顯失公平者，該部分條款無效；契約條款如有疑義時，應為有利於金融消費者之解釋。金融服務業提供金融商品或服務，應盡善良管理人之注意義務。</w:t>
      </w:r>
    </w:p>
    <w:p w:rsidR="001A3E80" w:rsidRPr="003B0FEE" w:rsidRDefault="001A3E80" w:rsidP="003B0FEE">
      <w:pPr>
        <w:pStyle w:val="a3"/>
        <w:numPr>
          <w:ilvl w:val="0"/>
          <w:numId w:val="7"/>
        </w:numPr>
        <w:ind w:leftChars="0"/>
        <w:rPr>
          <w:rFonts w:ascii="標楷體" w:eastAsia="標楷體" w:hAnsi="標楷體"/>
          <w:b/>
          <w:sz w:val="22"/>
        </w:rPr>
      </w:pPr>
      <w:r w:rsidRPr="003B0FEE">
        <w:rPr>
          <w:rFonts w:ascii="標楷體" w:eastAsia="標楷體" w:hAnsi="標楷體" w:hint="eastAsia"/>
          <w:b/>
          <w:sz w:val="22"/>
        </w:rPr>
        <w:t>金融服務業刊登、播放廣告及進行業務招攬或營業促銷活動時，不得有虛偽、詐欺、隱匿或其他足致他人誤信之情事，並應確保其廣告內容之真實，其對金融消費者所負擔之義務不得低於前述廣告之內容及進行業務招攬或營業促銷活動時對金融消費者所提示之資料或說明。金融服務業不得藉金融教育宣導，引薦個別金融商品或服務，雙方並同意就主管機關所訂定「金融服務業從事廣告業務招攬及營業促銷活動辦法」作為本契約內容之一部分。</w:t>
      </w:r>
    </w:p>
    <w:p w:rsidR="001A3E80" w:rsidRPr="003B0FEE" w:rsidRDefault="001A3E80" w:rsidP="003B0FEE">
      <w:pPr>
        <w:pStyle w:val="a3"/>
        <w:numPr>
          <w:ilvl w:val="0"/>
          <w:numId w:val="7"/>
        </w:numPr>
        <w:ind w:leftChars="0"/>
        <w:rPr>
          <w:rFonts w:ascii="標楷體" w:eastAsia="標楷體" w:hAnsi="標楷體"/>
          <w:b/>
          <w:sz w:val="22"/>
        </w:rPr>
      </w:pPr>
      <w:r w:rsidRPr="003B0FEE">
        <w:rPr>
          <w:rFonts w:ascii="標楷體" w:eastAsia="標楷體" w:hAnsi="標楷體" w:hint="eastAsia"/>
          <w:b/>
          <w:sz w:val="22"/>
        </w:rPr>
        <w:t>甲乙雙方訂立本契約前，金融服務業應充分瞭解金融消費者之相關資料，以確保該商品或服務對金融消費者之適合度，雙方並同意就主管機關所訂定「金融服務業確保金融商品或服務適合金融消費者辦法」作為本契約內容之一部分。</w:t>
      </w:r>
    </w:p>
    <w:p w:rsidR="001A3E80" w:rsidRPr="003B0FEE" w:rsidRDefault="001A3E80" w:rsidP="003B0FEE">
      <w:pPr>
        <w:pStyle w:val="a3"/>
        <w:numPr>
          <w:ilvl w:val="0"/>
          <w:numId w:val="7"/>
        </w:numPr>
        <w:ind w:leftChars="0"/>
        <w:rPr>
          <w:rFonts w:ascii="標楷體" w:eastAsia="標楷體" w:hAnsi="標楷體"/>
          <w:b/>
          <w:sz w:val="22"/>
        </w:rPr>
      </w:pPr>
      <w:r w:rsidRPr="003B0FEE">
        <w:rPr>
          <w:rFonts w:ascii="標楷體" w:eastAsia="標楷體" w:hAnsi="標楷體" w:hint="eastAsia"/>
          <w:b/>
          <w:sz w:val="22"/>
        </w:rPr>
        <w:lastRenderedPageBreak/>
        <w:t>甲乙雙方訂立本契約前，金融服務業應向金融消費者充分說明該金融商品、服務及契約之重要內容，並充分揭露其風險。前揭金融服務業對金融消費者進行之說明及揭露，應以金融消費者能充分瞭解方式為之，其內容應包括但不限交易成本、可能之收益及風險等有關金融消費者權益之重要內容，雙方並同意就主管機關所訂定「金融服務業提供金融商品或服務前說明契約重要內容及揭露風險辦法」作為本契約內容之一部分。</w:t>
      </w:r>
    </w:p>
    <w:p w:rsidR="001A3E80" w:rsidRPr="003B0FEE" w:rsidRDefault="001A3E80" w:rsidP="003B0FEE">
      <w:pPr>
        <w:pStyle w:val="a3"/>
        <w:numPr>
          <w:ilvl w:val="0"/>
          <w:numId w:val="7"/>
        </w:numPr>
        <w:ind w:leftChars="0"/>
        <w:rPr>
          <w:rFonts w:ascii="標楷體" w:eastAsia="標楷體" w:hAnsi="標楷體"/>
          <w:b/>
          <w:sz w:val="22"/>
        </w:rPr>
      </w:pPr>
      <w:r w:rsidRPr="003B0FEE">
        <w:rPr>
          <w:rFonts w:ascii="標楷體" w:eastAsia="標楷體" w:hAnsi="標楷體" w:hint="eastAsia"/>
          <w:b/>
          <w:sz w:val="22"/>
        </w:rPr>
        <w:t>甲乙雙方就因金融消費履約而生爭議者，應依法令規定及契約約定，考量公共利益及公平合理，本誠信和諧原則盡力協調解決之，雙方並同意依金融消費者保護法第三章有關爭議處理程序辦理。</w:t>
      </w:r>
    </w:p>
    <w:p w:rsidR="003B0FEE" w:rsidRPr="00FA0265" w:rsidRDefault="001A3E80" w:rsidP="003B0FEE">
      <w:pPr>
        <w:ind w:left="1134" w:hangingChars="515" w:hanging="1134"/>
        <w:rPr>
          <w:rFonts w:ascii="標楷體" w:eastAsia="標楷體" w:hAnsi="標楷體"/>
          <w:b/>
          <w:sz w:val="22"/>
        </w:rPr>
      </w:pPr>
      <w:r w:rsidRPr="00FA0265">
        <w:rPr>
          <w:rFonts w:ascii="標楷體" w:eastAsia="標楷體" w:hAnsi="標楷體" w:hint="eastAsia"/>
          <w:b/>
          <w:sz w:val="22"/>
        </w:rPr>
        <w:t xml:space="preserve">第十九條  </w:t>
      </w:r>
      <w:r w:rsidR="003B0FEE" w:rsidRPr="00FA0265">
        <w:rPr>
          <w:rFonts w:ascii="標楷體" w:eastAsia="標楷體" w:hAnsi="標楷體" w:hint="eastAsia"/>
          <w:b/>
          <w:sz w:val="22"/>
        </w:rPr>
        <w:t>乙方與甲方辦理債券次級業務往來，乙方聲明於簽立債券交易各項文件、約據及接受交易服務前，業經甲方說明下列往來業務及服務項目，及解釋各項文件、約據重要內容，並已充分了解：</w:t>
      </w:r>
    </w:p>
    <w:p w:rsidR="003B0FEE" w:rsidRPr="00FA0265" w:rsidRDefault="003B0FEE" w:rsidP="003B0FEE">
      <w:pPr>
        <w:pStyle w:val="a3"/>
        <w:numPr>
          <w:ilvl w:val="0"/>
          <w:numId w:val="8"/>
        </w:numPr>
        <w:ind w:leftChars="0"/>
        <w:rPr>
          <w:rFonts w:ascii="標楷體" w:eastAsia="標楷體" w:hAnsi="標楷體"/>
          <w:b/>
          <w:sz w:val="22"/>
        </w:rPr>
      </w:pPr>
      <w:r w:rsidRPr="00FA0265">
        <w:rPr>
          <w:rFonts w:ascii="標楷體" w:eastAsia="標楷體" w:hAnsi="標楷體" w:hint="eastAsia"/>
          <w:b/>
          <w:sz w:val="22"/>
        </w:rPr>
        <w:t>若需簽署文件、約據者，其所簽署文件、約據之主要內容。</w:t>
      </w:r>
    </w:p>
    <w:p w:rsidR="003B0FEE" w:rsidRPr="00FA0265" w:rsidRDefault="003B0FEE" w:rsidP="003B0FEE">
      <w:pPr>
        <w:pStyle w:val="a3"/>
        <w:numPr>
          <w:ilvl w:val="0"/>
          <w:numId w:val="8"/>
        </w:numPr>
        <w:ind w:leftChars="0"/>
        <w:rPr>
          <w:rFonts w:ascii="標楷體" w:eastAsia="標楷體" w:hAnsi="標楷體"/>
          <w:b/>
          <w:sz w:val="22"/>
        </w:rPr>
      </w:pPr>
      <w:r w:rsidRPr="00FA0265">
        <w:rPr>
          <w:rFonts w:ascii="標楷體" w:eastAsia="標楷體" w:hAnsi="標楷體" w:hint="eastAsia"/>
          <w:b/>
          <w:sz w:val="22"/>
        </w:rPr>
        <w:t>所提供之債券交易業務之程序、種類、稅負、交易及交割方式、中途賣回或解約作法等金融服務內容。</w:t>
      </w:r>
    </w:p>
    <w:p w:rsidR="003B0FEE" w:rsidRPr="00FA0265" w:rsidRDefault="003B0FEE" w:rsidP="003B0FEE">
      <w:pPr>
        <w:pStyle w:val="a3"/>
        <w:numPr>
          <w:ilvl w:val="0"/>
          <w:numId w:val="8"/>
        </w:numPr>
        <w:ind w:leftChars="0"/>
        <w:rPr>
          <w:rFonts w:ascii="標楷體" w:eastAsia="標楷體" w:hAnsi="標楷體"/>
          <w:b/>
          <w:sz w:val="22"/>
        </w:rPr>
      </w:pPr>
      <w:r w:rsidRPr="00FA0265">
        <w:rPr>
          <w:rFonts w:ascii="標楷體" w:eastAsia="標楷體" w:hAnsi="標楷體" w:hint="eastAsia"/>
          <w:b/>
          <w:sz w:val="22"/>
        </w:rPr>
        <w:t>債券交易之性質與銀行存款不同，非屬銀行存款保險範圍。乙方與甲方</w:t>
      </w:r>
      <w:proofErr w:type="gramStart"/>
      <w:r w:rsidRPr="00FA0265">
        <w:rPr>
          <w:rFonts w:ascii="標楷體" w:eastAsia="標楷體" w:hAnsi="標楷體" w:hint="eastAsia"/>
          <w:b/>
          <w:sz w:val="22"/>
        </w:rPr>
        <w:t>承作</w:t>
      </w:r>
      <w:proofErr w:type="gramEnd"/>
      <w:r w:rsidRPr="00FA0265">
        <w:rPr>
          <w:rFonts w:ascii="標楷體" w:eastAsia="標楷體" w:hAnsi="標楷體" w:hint="eastAsia"/>
          <w:b/>
          <w:sz w:val="22"/>
        </w:rPr>
        <w:t>債券附條件交易，債券附條件交易賣方承諾於</w:t>
      </w:r>
      <w:proofErr w:type="gramStart"/>
      <w:r w:rsidRPr="00FA0265">
        <w:rPr>
          <w:rFonts w:ascii="標楷體" w:eastAsia="標楷體" w:hAnsi="標楷體" w:hint="eastAsia"/>
          <w:b/>
          <w:sz w:val="22"/>
        </w:rPr>
        <w:t>賣還日依約</w:t>
      </w:r>
      <w:proofErr w:type="gramEnd"/>
      <w:r w:rsidRPr="00FA0265">
        <w:rPr>
          <w:rFonts w:ascii="標楷體" w:eastAsia="標楷體" w:hAnsi="標楷體" w:hint="eastAsia"/>
          <w:b/>
          <w:sz w:val="22"/>
        </w:rPr>
        <w:t>負責買回。</w:t>
      </w:r>
    </w:p>
    <w:p w:rsidR="003B0FEE" w:rsidRPr="00FA0265" w:rsidRDefault="003B0FEE" w:rsidP="003B0FEE">
      <w:pPr>
        <w:pStyle w:val="a3"/>
        <w:numPr>
          <w:ilvl w:val="0"/>
          <w:numId w:val="8"/>
        </w:numPr>
        <w:ind w:leftChars="0"/>
        <w:rPr>
          <w:rFonts w:ascii="標楷體" w:eastAsia="標楷體" w:hAnsi="標楷體"/>
          <w:b/>
          <w:sz w:val="22"/>
        </w:rPr>
      </w:pPr>
      <w:r w:rsidRPr="00FA0265">
        <w:rPr>
          <w:rFonts w:ascii="標楷體" w:eastAsia="標楷體" w:hAnsi="標楷體" w:hint="eastAsia"/>
          <w:b/>
          <w:sz w:val="22"/>
        </w:rPr>
        <w:t>甲方之紛爭處理及申訴管道：</w:t>
      </w:r>
    </w:p>
    <w:p w:rsidR="003B0FEE" w:rsidRPr="00FA0265" w:rsidRDefault="003B0FEE" w:rsidP="003B0FEE">
      <w:pPr>
        <w:pStyle w:val="a3"/>
        <w:ind w:leftChars="0" w:left="1680"/>
        <w:rPr>
          <w:rFonts w:ascii="標楷體" w:eastAsia="標楷體" w:hAnsi="標楷體"/>
          <w:b/>
          <w:sz w:val="22"/>
        </w:rPr>
      </w:pPr>
      <w:r w:rsidRPr="00FA0265">
        <w:rPr>
          <w:rFonts w:ascii="標楷體" w:eastAsia="標楷體" w:hAnsi="標楷體" w:hint="eastAsia"/>
          <w:b/>
          <w:sz w:val="22"/>
        </w:rPr>
        <w:t>(</w:t>
      </w:r>
      <w:proofErr w:type="gramStart"/>
      <w:r w:rsidRPr="00FA0265">
        <w:rPr>
          <w:rFonts w:ascii="標楷體" w:eastAsia="標楷體" w:hAnsi="標楷體" w:hint="eastAsia"/>
          <w:b/>
          <w:sz w:val="22"/>
        </w:rPr>
        <w:t>一</w:t>
      </w:r>
      <w:proofErr w:type="gramEnd"/>
      <w:r w:rsidRPr="00FA0265">
        <w:rPr>
          <w:rFonts w:ascii="標楷體" w:eastAsia="標楷體" w:hAnsi="標楷體" w:hint="eastAsia"/>
          <w:b/>
          <w:sz w:val="22"/>
        </w:rPr>
        <w:t>)受理申訴部門：管理部</w:t>
      </w:r>
    </w:p>
    <w:p w:rsidR="003B0FEE" w:rsidRPr="00FA0265" w:rsidRDefault="003B0FEE" w:rsidP="003B0FEE">
      <w:pPr>
        <w:pStyle w:val="a3"/>
        <w:ind w:leftChars="0" w:left="1680"/>
        <w:rPr>
          <w:rFonts w:ascii="標楷體" w:eastAsia="標楷體" w:hAnsi="標楷體"/>
          <w:b/>
          <w:sz w:val="22"/>
        </w:rPr>
      </w:pPr>
      <w:r w:rsidRPr="00FA0265">
        <w:rPr>
          <w:rFonts w:ascii="標楷體" w:eastAsia="標楷體" w:hAnsi="標楷體" w:hint="eastAsia"/>
          <w:b/>
          <w:sz w:val="22"/>
        </w:rPr>
        <w:t>服務電話：(02)2778-5577</w:t>
      </w:r>
    </w:p>
    <w:p w:rsidR="003B0FEE" w:rsidRPr="00FA0265" w:rsidRDefault="003B0FEE" w:rsidP="003B0FEE">
      <w:pPr>
        <w:pStyle w:val="a3"/>
        <w:ind w:leftChars="0" w:left="1680"/>
        <w:rPr>
          <w:rFonts w:ascii="標楷體" w:eastAsia="標楷體" w:hAnsi="標楷體"/>
          <w:b/>
          <w:sz w:val="22"/>
        </w:rPr>
      </w:pPr>
      <w:r w:rsidRPr="00FA0265">
        <w:rPr>
          <w:rFonts w:ascii="標楷體" w:eastAsia="標楷體" w:hAnsi="標楷體" w:hint="eastAsia"/>
          <w:b/>
          <w:sz w:val="22"/>
        </w:rPr>
        <w:t>e-mail Address：service@dcbf.com.tw</w:t>
      </w:r>
    </w:p>
    <w:p w:rsidR="003B0FEE" w:rsidRPr="00FA0265" w:rsidRDefault="003B0FEE" w:rsidP="003B0FEE">
      <w:pPr>
        <w:pStyle w:val="a3"/>
        <w:ind w:leftChars="0" w:left="1680"/>
        <w:rPr>
          <w:rFonts w:ascii="標楷體" w:eastAsia="標楷體" w:hAnsi="標楷體"/>
          <w:b/>
          <w:sz w:val="22"/>
        </w:rPr>
      </w:pPr>
      <w:r w:rsidRPr="00FA0265">
        <w:rPr>
          <w:rFonts w:ascii="標楷體" w:eastAsia="標楷體" w:hAnsi="標楷體" w:hint="eastAsia"/>
          <w:b/>
          <w:sz w:val="22"/>
        </w:rPr>
        <w:t>（申訴電話已刊載於金融監督管理委員會銀行局網站之「金融機構消費者申訴專線」網頁）。</w:t>
      </w:r>
    </w:p>
    <w:p w:rsidR="003B0FEE" w:rsidRPr="00FA0265" w:rsidRDefault="003B0FEE" w:rsidP="003B0FEE">
      <w:pPr>
        <w:pStyle w:val="a3"/>
        <w:ind w:leftChars="0" w:left="1680"/>
        <w:rPr>
          <w:rFonts w:ascii="標楷體" w:eastAsia="標楷體" w:hAnsi="標楷體"/>
          <w:b/>
          <w:sz w:val="22"/>
        </w:rPr>
      </w:pPr>
      <w:r w:rsidRPr="00FA0265">
        <w:rPr>
          <w:rFonts w:ascii="標楷體" w:eastAsia="標楷體" w:hAnsi="標楷體" w:hint="eastAsia"/>
          <w:b/>
          <w:sz w:val="22"/>
        </w:rPr>
        <w:t>(二)甲方網站之聯絡信箱。</w:t>
      </w:r>
    </w:p>
    <w:p w:rsidR="003B0FEE" w:rsidRPr="00585DAC" w:rsidRDefault="003B0FEE" w:rsidP="003B0FEE">
      <w:pPr>
        <w:pStyle w:val="a3"/>
        <w:ind w:leftChars="0" w:left="1680"/>
        <w:rPr>
          <w:rFonts w:ascii="標楷體" w:eastAsia="標楷體" w:hAnsi="標楷體"/>
          <w:b/>
          <w:sz w:val="22"/>
          <w:u w:val="single"/>
        </w:rPr>
      </w:pPr>
      <w:r w:rsidRPr="00FA0265">
        <w:rPr>
          <w:rFonts w:ascii="標楷體" w:eastAsia="標楷體" w:hAnsi="標楷體" w:hint="eastAsia"/>
          <w:b/>
          <w:sz w:val="22"/>
        </w:rPr>
        <w:t>(三)營業時間內得</w:t>
      </w:r>
      <w:proofErr w:type="gramStart"/>
      <w:r w:rsidRPr="00FA0265">
        <w:rPr>
          <w:rFonts w:ascii="標楷體" w:eastAsia="標楷體" w:hAnsi="標楷體" w:hint="eastAsia"/>
          <w:b/>
          <w:sz w:val="22"/>
        </w:rPr>
        <w:t>逕洽甲</w:t>
      </w:r>
      <w:proofErr w:type="gramEnd"/>
      <w:r w:rsidRPr="00FA0265">
        <w:rPr>
          <w:rFonts w:ascii="標楷體" w:eastAsia="標楷體" w:hAnsi="標楷體" w:hint="eastAsia"/>
          <w:b/>
          <w:sz w:val="22"/>
        </w:rPr>
        <w:t>方之營業單位。</w:t>
      </w:r>
    </w:p>
    <w:p w:rsidR="003B0FEE" w:rsidRPr="00D568F6" w:rsidRDefault="001A3E80" w:rsidP="003B0FEE">
      <w:pPr>
        <w:ind w:left="1133" w:hangingChars="515" w:hanging="1133"/>
        <w:rPr>
          <w:rFonts w:ascii="標楷體" w:eastAsia="標楷體" w:hAnsi="標楷體"/>
          <w:sz w:val="22"/>
        </w:rPr>
      </w:pPr>
      <w:r w:rsidRPr="00D568F6">
        <w:rPr>
          <w:rFonts w:ascii="標楷體" w:eastAsia="標楷體" w:hAnsi="標楷體" w:hint="eastAsia"/>
          <w:sz w:val="22"/>
        </w:rPr>
        <w:t xml:space="preserve">第二十條  </w:t>
      </w:r>
      <w:proofErr w:type="gramStart"/>
      <w:r w:rsidR="003B0FEE" w:rsidRPr="00D568F6">
        <w:rPr>
          <w:rFonts w:ascii="標楷體" w:eastAsia="標楷體" w:hAnsi="標楷體" w:hint="eastAsia"/>
          <w:sz w:val="22"/>
        </w:rPr>
        <w:t>本總契約</w:t>
      </w:r>
      <w:proofErr w:type="gramEnd"/>
      <w:r w:rsidR="003B0FEE" w:rsidRPr="00D568F6">
        <w:rPr>
          <w:rFonts w:ascii="標楷體" w:eastAsia="標楷體" w:hAnsi="標楷體" w:hint="eastAsia"/>
          <w:sz w:val="22"/>
        </w:rPr>
        <w:t>未盡事宜，悉依中華民國法令、櫃檯買賣有價證券相關法規、函令解釋及相關規定，上開規章未規定時，由本契約當事人本誠信原則協議之。</w:t>
      </w:r>
    </w:p>
    <w:p w:rsidR="001A3E80" w:rsidRPr="00D568F6" w:rsidRDefault="003B0FEE" w:rsidP="003B0FEE">
      <w:pPr>
        <w:ind w:left="1133" w:hangingChars="515" w:hanging="1133"/>
        <w:rPr>
          <w:rFonts w:ascii="標楷體" w:eastAsia="標楷體" w:hAnsi="標楷體"/>
          <w:sz w:val="22"/>
        </w:rPr>
      </w:pPr>
      <w:r w:rsidRPr="00D568F6">
        <w:rPr>
          <w:rFonts w:ascii="標楷體" w:eastAsia="標楷體" w:hAnsi="標楷體" w:hint="eastAsia"/>
          <w:sz w:val="22"/>
        </w:rPr>
        <w:t>第二十一條</w:t>
      </w:r>
      <w:r>
        <w:rPr>
          <w:rFonts w:ascii="標楷體" w:eastAsia="標楷體" w:hAnsi="標楷體" w:hint="eastAsia"/>
          <w:sz w:val="22"/>
        </w:rPr>
        <w:tab/>
      </w:r>
      <w:proofErr w:type="gramStart"/>
      <w:r w:rsidR="001A3E80" w:rsidRPr="00D568F6">
        <w:rPr>
          <w:rFonts w:ascii="標楷體" w:eastAsia="標楷體" w:hAnsi="標楷體" w:hint="eastAsia"/>
          <w:sz w:val="22"/>
        </w:rPr>
        <w:t>本總契約</w:t>
      </w:r>
      <w:proofErr w:type="gramEnd"/>
      <w:r w:rsidR="001A3E80" w:rsidRPr="00D568F6">
        <w:rPr>
          <w:rFonts w:ascii="標楷體" w:eastAsia="標楷體" w:hAnsi="標楷體" w:hint="eastAsia"/>
          <w:sz w:val="22"/>
        </w:rPr>
        <w:t>之修改，非經雙方以書面確認並簽章後，不生效力。</w:t>
      </w:r>
    </w:p>
    <w:p w:rsidR="001A3E80" w:rsidRPr="00D568F6" w:rsidRDefault="003B0FEE" w:rsidP="003B0FEE">
      <w:pPr>
        <w:ind w:left="1133" w:hangingChars="515" w:hanging="1133"/>
        <w:rPr>
          <w:rFonts w:ascii="標楷體" w:eastAsia="標楷體" w:hAnsi="標楷體"/>
          <w:sz w:val="22"/>
        </w:rPr>
      </w:pPr>
      <w:r w:rsidRPr="00D568F6">
        <w:rPr>
          <w:rFonts w:ascii="標楷體" w:eastAsia="標楷體" w:hAnsi="標楷體" w:hint="eastAsia"/>
          <w:sz w:val="22"/>
        </w:rPr>
        <w:t>第二十</w:t>
      </w:r>
      <w:r>
        <w:rPr>
          <w:rFonts w:ascii="標楷體" w:eastAsia="標楷體" w:hAnsi="標楷體" w:hint="eastAsia"/>
          <w:sz w:val="22"/>
        </w:rPr>
        <w:t>二</w:t>
      </w:r>
      <w:r w:rsidRPr="00D568F6">
        <w:rPr>
          <w:rFonts w:ascii="標楷體" w:eastAsia="標楷體" w:hAnsi="標楷體" w:hint="eastAsia"/>
          <w:sz w:val="22"/>
        </w:rPr>
        <w:t>條</w:t>
      </w:r>
      <w:r>
        <w:rPr>
          <w:rFonts w:ascii="標楷體" w:eastAsia="標楷體" w:hAnsi="標楷體" w:hint="eastAsia"/>
          <w:sz w:val="22"/>
        </w:rPr>
        <w:tab/>
      </w:r>
      <w:proofErr w:type="gramStart"/>
      <w:r w:rsidR="001A3E80" w:rsidRPr="00D568F6">
        <w:rPr>
          <w:rFonts w:ascii="標楷體" w:eastAsia="標楷體" w:hAnsi="標楷體" w:hint="eastAsia"/>
          <w:sz w:val="22"/>
        </w:rPr>
        <w:t>本總契約</w:t>
      </w:r>
      <w:proofErr w:type="gramEnd"/>
      <w:r w:rsidR="001A3E80" w:rsidRPr="00D568F6">
        <w:rPr>
          <w:rFonts w:ascii="標楷體" w:eastAsia="標楷體" w:hAnsi="標楷體" w:hint="eastAsia"/>
          <w:sz w:val="22"/>
        </w:rPr>
        <w:t>依中華民國法律制訂，甲乙雙方並同意以台灣台北地院為第一審管轄法院。</w:t>
      </w:r>
    </w:p>
    <w:p w:rsidR="001A3E80" w:rsidRPr="00D568F6" w:rsidRDefault="001A3E80" w:rsidP="001A3E80">
      <w:pPr>
        <w:rPr>
          <w:rFonts w:ascii="標楷體" w:eastAsia="標楷體" w:hAnsi="標楷體"/>
          <w:sz w:val="22"/>
        </w:rPr>
      </w:pPr>
    </w:p>
    <w:p w:rsidR="001A3E80" w:rsidRDefault="001A3E80" w:rsidP="001A3E80">
      <w:pPr>
        <w:rPr>
          <w:rFonts w:ascii="標楷體" w:eastAsia="標楷體" w:hAnsi="標楷體"/>
          <w:sz w:val="22"/>
        </w:rPr>
      </w:pPr>
      <w:r w:rsidRPr="00D568F6">
        <w:rPr>
          <w:rFonts w:ascii="標楷體" w:eastAsia="標楷體" w:hAnsi="標楷體" w:hint="eastAsia"/>
          <w:sz w:val="22"/>
        </w:rPr>
        <w:t>立契約人</w:t>
      </w:r>
    </w:p>
    <w:p w:rsidR="00950CE5" w:rsidRPr="00D568F6" w:rsidRDefault="00950CE5" w:rsidP="001A3E80">
      <w:pPr>
        <w:rPr>
          <w:rFonts w:ascii="標楷體" w:eastAsia="標楷體" w:hAnsi="標楷體"/>
          <w:sz w:val="22"/>
        </w:rPr>
      </w:pPr>
    </w:p>
    <w:p w:rsidR="001A3E80" w:rsidRDefault="001A3E80" w:rsidP="001A3E80">
      <w:pPr>
        <w:rPr>
          <w:rFonts w:ascii="標楷體" w:eastAsia="標楷體" w:hAnsi="標楷體" w:hint="eastAsia"/>
          <w:sz w:val="22"/>
        </w:rPr>
      </w:pPr>
      <w:r w:rsidRPr="00D568F6">
        <w:rPr>
          <w:rFonts w:ascii="標楷體" w:eastAsia="標楷體" w:hAnsi="標楷體" w:hint="eastAsia"/>
          <w:sz w:val="22"/>
        </w:rPr>
        <w:t>甲方：</w:t>
      </w:r>
      <w:r w:rsidR="003B0FEE">
        <w:rPr>
          <w:rFonts w:ascii="標楷體" w:eastAsia="標楷體" w:hAnsi="標楷體" w:hint="eastAsia"/>
          <w:sz w:val="22"/>
        </w:rPr>
        <w:t>大中票</w:t>
      </w:r>
      <w:proofErr w:type="gramStart"/>
      <w:r w:rsidR="003B0FEE">
        <w:rPr>
          <w:rFonts w:ascii="標楷體" w:eastAsia="標楷體" w:hAnsi="標楷體" w:hint="eastAsia"/>
          <w:sz w:val="22"/>
        </w:rPr>
        <w:t>券</w:t>
      </w:r>
      <w:proofErr w:type="gramEnd"/>
      <w:r w:rsidR="003B0FEE">
        <w:rPr>
          <w:rFonts w:ascii="標楷體" w:eastAsia="標楷體" w:hAnsi="標楷體" w:hint="eastAsia"/>
          <w:sz w:val="22"/>
        </w:rPr>
        <w:t>金融股份有限公司</w:t>
      </w:r>
      <w:r w:rsidRPr="00D568F6">
        <w:rPr>
          <w:rFonts w:ascii="標楷體" w:eastAsia="標楷體" w:hAnsi="標楷體" w:hint="eastAsia"/>
          <w:sz w:val="22"/>
        </w:rPr>
        <w:t>（簽章）</w:t>
      </w:r>
    </w:p>
    <w:p w:rsidR="00F178CB" w:rsidRDefault="00F178CB" w:rsidP="001A3E80">
      <w:pPr>
        <w:rPr>
          <w:rFonts w:ascii="標楷體" w:eastAsia="標楷體" w:hAnsi="標楷體" w:hint="eastAsia"/>
          <w:sz w:val="22"/>
        </w:rPr>
      </w:pPr>
    </w:p>
    <w:p w:rsidR="001A3E80" w:rsidRDefault="001A3E80" w:rsidP="001A3E80">
      <w:pPr>
        <w:rPr>
          <w:rFonts w:ascii="標楷體" w:eastAsia="標楷體" w:hAnsi="標楷體"/>
          <w:sz w:val="22"/>
        </w:rPr>
      </w:pPr>
      <w:r w:rsidRPr="00D568F6">
        <w:rPr>
          <w:rFonts w:ascii="標楷體" w:eastAsia="標楷體" w:hAnsi="標楷體" w:hint="eastAsia"/>
          <w:sz w:val="22"/>
        </w:rPr>
        <w:t xml:space="preserve">乙方：              </w:t>
      </w:r>
      <w:r w:rsidR="003B0FEE">
        <w:rPr>
          <w:rFonts w:ascii="標楷體" w:eastAsia="標楷體" w:hAnsi="標楷體" w:hint="eastAsia"/>
          <w:sz w:val="22"/>
        </w:rPr>
        <w:t xml:space="preserve">          </w:t>
      </w:r>
      <w:r w:rsidRPr="00D568F6">
        <w:rPr>
          <w:rFonts w:ascii="標楷體" w:eastAsia="標楷體" w:hAnsi="標楷體" w:hint="eastAsia"/>
          <w:sz w:val="22"/>
        </w:rPr>
        <w:t>（簽章）</w:t>
      </w:r>
    </w:p>
    <w:p w:rsidR="00950CE5" w:rsidRDefault="00950CE5" w:rsidP="001A3E80">
      <w:pPr>
        <w:rPr>
          <w:rFonts w:ascii="標楷體" w:eastAsia="標楷體" w:hAnsi="標楷體"/>
          <w:sz w:val="22"/>
        </w:rPr>
      </w:pPr>
      <w:bookmarkStart w:id="0" w:name="_GoBack"/>
      <w:bookmarkEnd w:id="0"/>
    </w:p>
    <w:p w:rsidR="001A3E80" w:rsidRPr="00D568F6" w:rsidRDefault="001A3E80" w:rsidP="00585DAC">
      <w:pPr>
        <w:jc w:val="distribute"/>
        <w:rPr>
          <w:rFonts w:ascii="標楷體" w:eastAsia="標楷體" w:hAnsi="標楷體"/>
          <w:sz w:val="22"/>
        </w:rPr>
      </w:pPr>
      <w:r w:rsidRPr="00D568F6">
        <w:rPr>
          <w:rFonts w:ascii="標楷體" w:eastAsia="標楷體" w:hAnsi="標楷體" w:hint="eastAsia"/>
          <w:sz w:val="22"/>
        </w:rPr>
        <w:t>中華民國    年    月    日</w:t>
      </w:r>
    </w:p>
    <w:p w:rsidR="001A3E80" w:rsidRPr="00E06D4B" w:rsidRDefault="001A3E80" w:rsidP="001A3E80">
      <w:pPr>
        <w:rPr>
          <w:rFonts w:ascii="標楷體" w:eastAsia="標楷體" w:hAnsi="標楷體"/>
          <w:sz w:val="22"/>
        </w:rPr>
      </w:pPr>
    </w:p>
    <w:tbl>
      <w:tblPr>
        <w:tblStyle w:val="a5"/>
        <w:tblW w:w="0" w:type="auto"/>
        <w:tblLook w:val="04A0" w:firstRow="1" w:lastRow="0" w:firstColumn="1" w:lastColumn="0" w:noHBand="0" w:noVBand="1"/>
      </w:tblPr>
      <w:tblGrid>
        <w:gridCol w:w="1926"/>
        <w:gridCol w:w="1926"/>
        <w:gridCol w:w="1926"/>
      </w:tblGrid>
      <w:tr w:rsidR="00585DAC" w:rsidTr="00950CE5">
        <w:trPr>
          <w:trHeight w:val="534"/>
        </w:trPr>
        <w:tc>
          <w:tcPr>
            <w:tcW w:w="1926" w:type="dxa"/>
            <w:vAlign w:val="center"/>
          </w:tcPr>
          <w:p w:rsidR="00585DAC" w:rsidRDefault="00585DAC" w:rsidP="00585DAC">
            <w:pPr>
              <w:jc w:val="center"/>
              <w:rPr>
                <w:rFonts w:ascii="標楷體" w:eastAsia="標楷體" w:hAnsi="標楷體"/>
                <w:sz w:val="22"/>
              </w:rPr>
            </w:pPr>
            <w:r>
              <w:rPr>
                <w:rFonts w:ascii="標楷體" w:eastAsia="標楷體" w:hAnsi="標楷體" w:hint="eastAsia"/>
                <w:sz w:val="22"/>
              </w:rPr>
              <w:t>主 管</w:t>
            </w:r>
          </w:p>
        </w:tc>
        <w:tc>
          <w:tcPr>
            <w:tcW w:w="1926" w:type="dxa"/>
            <w:vAlign w:val="center"/>
          </w:tcPr>
          <w:p w:rsidR="00585DAC" w:rsidRDefault="00585DAC" w:rsidP="00585DAC">
            <w:pPr>
              <w:jc w:val="center"/>
              <w:rPr>
                <w:rFonts w:ascii="標楷體" w:eastAsia="標楷體" w:hAnsi="標楷體"/>
                <w:sz w:val="22"/>
              </w:rPr>
            </w:pPr>
            <w:r>
              <w:rPr>
                <w:rFonts w:ascii="標楷體" w:eastAsia="標楷體" w:hAnsi="標楷體" w:hint="eastAsia"/>
                <w:sz w:val="22"/>
              </w:rPr>
              <w:t>交 易 員</w:t>
            </w:r>
          </w:p>
        </w:tc>
        <w:tc>
          <w:tcPr>
            <w:tcW w:w="1926" w:type="dxa"/>
          </w:tcPr>
          <w:p w:rsidR="00585DAC" w:rsidRPr="00585DAC" w:rsidRDefault="00585DAC" w:rsidP="00585DAC">
            <w:pPr>
              <w:jc w:val="center"/>
              <w:rPr>
                <w:rFonts w:ascii="標楷體" w:eastAsia="標楷體" w:hAnsi="標楷體"/>
                <w:sz w:val="22"/>
              </w:rPr>
            </w:pPr>
            <w:r w:rsidRPr="00585DAC">
              <w:rPr>
                <w:rFonts w:ascii="標楷體" w:eastAsia="標楷體" w:hAnsi="標楷體" w:hint="eastAsia"/>
                <w:sz w:val="22"/>
              </w:rPr>
              <w:t>經辦開戶及</w:t>
            </w:r>
            <w:r>
              <w:rPr>
                <w:rFonts w:ascii="標楷體" w:eastAsia="標楷體" w:hAnsi="標楷體"/>
                <w:sz w:val="22"/>
              </w:rPr>
              <w:br/>
            </w:r>
            <w:r w:rsidRPr="00585DAC">
              <w:rPr>
                <w:rFonts w:ascii="標楷體" w:eastAsia="標楷體" w:hAnsi="標楷體" w:hint="eastAsia"/>
                <w:sz w:val="22"/>
              </w:rPr>
              <w:t>核對身分者</w:t>
            </w:r>
          </w:p>
        </w:tc>
      </w:tr>
      <w:tr w:rsidR="00585DAC" w:rsidTr="00585DAC">
        <w:trPr>
          <w:trHeight w:val="786"/>
        </w:trPr>
        <w:tc>
          <w:tcPr>
            <w:tcW w:w="1926" w:type="dxa"/>
          </w:tcPr>
          <w:p w:rsidR="00585DAC" w:rsidRPr="00585DAC" w:rsidRDefault="00585DAC" w:rsidP="00585DAC">
            <w:pPr>
              <w:jc w:val="center"/>
              <w:rPr>
                <w:rFonts w:ascii="標楷體" w:eastAsia="標楷體" w:hAnsi="標楷體"/>
                <w:sz w:val="22"/>
              </w:rPr>
            </w:pPr>
          </w:p>
        </w:tc>
        <w:tc>
          <w:tcPr>
            <w:tcW w:w="1926" w:type="dxa"/>
          </w:tcPr>
          <w:p w:rsidR="00585DAC" w:rsidRDefault="00585DAC" w:rsidP="00585DAC">
            <w:pPr>
              <w:jc w:val="center"/>
              <w:rPr>
                <w:rFonts w:ascii="標楷體" w:eastAsia="標楷體" w:hAnsi="標楷體"/>
                <w:sz w:val="22"/>
              </w:rPr>
            </w:pPr>
          </w:p>
        </w:tc>
        <w:tc>
          <w:tcPr>
            <w:tcW w:w="1926" w:type="dxa"/>
          </w:tcPr>
          <w:p w:rsidR="00585DAC" w:rsidRDefault="00585DAC" w:rsidP="00585DAC">
            <w:pPr>
              <w:jc w:val="center"/>
              <w:rPr>
                <w:rFonts w:ascii="標楷體" w:eastAsia="標楷體" w:hAnsi="標楷體"/>
                <w:sz w:val="22"/>
              </w:rPr>
            </w:pPr>
          </w:p>
        </w:tc>
      </w:tr>
    </w:tbl>
    <w:p w:rsidR="00885A6E" w:rsidRPr="00D568F6" w:rsidRDefault="00E06D4B" w:rsidP="001A3E80">
      <w:pPr>
        <w:rPr>
          <w:rFonts w:ascii="標楷體" w:eastAsia="標楷體" w:hAnsi="標楷體"/>
          <w:sz w:val="22"/>
        </w:rPr>
      </w:pPr>
    </w:p>
    <w:sectPr w:rsidR="00885A6E" w:rsidRPr="00D568F6" w:rsidSect="00E06D4B">
      <w:footerReference w:type="default" r:id="rId9"/>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7CC" w:rsidRDefault="004937CC" w:rsidP="004937CC">
      <w:r>
        <w:separator/>
      </w:r>
    </w:p>
  </w:endnote>
  <w:endnote w:type="continuationSeparator" w:id="0">
    <w:p w:rsidR="004937CC" w:rsidRDefault="004937CC" w:rsidP="0049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156927"/>
      <w:docPartObj>
        <w:docPartGallery w:val="Page Numbers (Bottom of Page)"/>
        <w:docPartUnique/>
      </w:docPartObj>
    </w:sdtPr>
    <w:sdtContent>
      <w:p w:rsidR="00E06D4B" w:rsidRDefault="00E06D4B">
        <w:pPr>
          <w:pStyle w:val="af"/>
          <w:jc w:val="center"/>
        </w:pPr>
        <w:r>
          <w:rPr>
            <w:rFonts w:hint="eastAsia"/>
          </w:rPr>
          <w:t>第</w:t>
        </w:r>
        <w:r>
          <w:fldChar w:fldCharType="begin"/>
        </w:r>
        <w:r>
          <w:instrText>PAGE   \* MERGEFORMAT</w:instrText>
        </w:r>
        <w:r>
          <w:fldChar w:fldCharType="separate"/>
        </w:r>
        <w:r w:rsidRPr="00E06D4B">
          <w:rPr>
            <w:noProof/>
            <w:lang w:val="zh-TW"/>
          </w:rPr>
          <w:t>3</w:t>
        </w:r>
        <w:r>
          <w:fldChar w:fldCharType="end"/>
        </w:r>
        <w:r>
          <w:rPr>
            <w:rFonts w:hint="eastAsia"/>
          </w:rPr>
          <w:t>頁，共</w:t>
        </w:r>
        <w:r>
          <w:rPr>
            <w:rFonts w:hint="eastAsia"/>
          </w:rPr>
          <w:t>3</w:t>
        </w:r>
        <w:r>
          <w:rPr>
            <w:rFonts w:hint="eastAsia"/>
          </w:rPr>
          <w:t>頁</w:t>
        </w:r>
      </w:p>
    </w:sdtContent>
  </w:sdt>
  <w:p w:rsidR="00E06D4B" w:rsidRDefault="00E06D4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7CC" w:rsidRDefault="004937CC" w:rsidP="004937CC">
      <w:r>
        <w:separator/>
      </w:r>
    </w:p>
  </w:footnote>
  <w:footnote w:type="continuationSeparator" w:id="0">
    <w:p w:rsidR="004937CC" w:rsidRDefault="004937CC" w:rsidP="00493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83F"/>
    <w:multiLevelType w:val="hybridMultilevel"/>
    <w:tmpl w:val="EDCE995C"/>
    <w:lvl w:ilvl="0" w:tplc="AACCFD38">
      <w:start w:val="1"/>
      <w:numFmt w:val="taiwaneseCountingThousand"/>
      <w:lvlText w:val="%1、"/>
      <w:lvlJc w:val="left"/>
      <w:pPr>
        <w:ind w:left="1680" w:hanging="480"/>
      </w:pPr>
      <w:rPr>
        <w:rFonts w:ascii="標楷體" w:eastAsia="標楷體" w:hAnsi="Calibri" w:cs="Times New Roman"/>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C413BED"/>
    <w:multiLevelType w:val="hybridMultilevel"/>
    <w:tmpl w:val="EDCE995C"/>
    <w:lvl w:ilvl="0" w:tplc="AACCFD38">
      <w:start w:val="1"/>
      <w:numFmt w:val="taiwaneseCountingThousand"/>
      <w:lvlText w:val="%1、"/>
      <w:lvlJc w:val="left"/>
      <w:pPr>
        <w:ind w:left="1680" w:hanging="480"/>
      </w:pPr>
      <w:rPr>
        <w:rFonts w:ascii="標楷體" w:eastAsia="標楷體" w:hAnsi="Calibri" w:cs="Times New Roman"/>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2FE46784"/>
    <w:multiLevelType w:val="hybridMultilevel"/>
    <w:tmpl w:val="DDEC3B8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8803901"/>
    <w:multiLevelType w:val="hybridMultilevel"/>
    <w:tmpl w:val="EDCE995C"/>
    <w:lvl w:ilvl="0" w:tplc="AACCFD38">
      <w:start w:val="1"/>
      <w:numFmt w:val="taiwaneseCountingThousand"/>
      <w:lvlText w:val="%1、"/>
      <w:lvlJc w:val="left"/>
      <w:pPr>
        <w:ind w:left="1680" w:hanging="480"/>
      </w:pPr>
      <w:rPr>
        <w:rFonts w:ascii="標楷體" w:eastAsia="標楷體" w:hAnsi="Calibri" w:cs="Times New Roman"/>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49A80261"/>
    <w:multiLevelType w:val="hybridMultilevel"/>
    <w:tmpl w:val="EDCE995C"/>
    <w:lvl w:ilvl="0" w:tplc="AACCFD38">
      <w:start w:val="1"/>
      <w:numFmt w:val="taiwaneseCountingThousand"/>
      <w:lvlText w:val="%1、"/>
      <w:lvlJc w:val="left"/>
      <w:pPr>
        <w:ind w:left="1680" w:hanging="480"/>
      </w:pPr>
      <w:rPr>
        <w:rFonts w:ascii="標楷體" w:eastAsia="標楷體" w:hAnsi="Calibri" w:cs="Times New Roman"/>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60102246"/>
    <w:multiLevelType w:val="hybridMultilevel"/>
    <w:tmpl w:val="A5E26A4A"/>
    <w:lvl w:ilvl="0" w:tplc="161EEB52">
      <w:start w:val="1"/>
      <w:numFmt w:val="taiwaneseCountingThousand"/>
      <w:pStyle w:val="1"/>
      <w:lvlText w:val="%1、"/>
      <w:lvlJc w:val="left"/>
      <w:pPr>
        <w:ind w:left="1440" w:hanging="480"/>
      </w:pPr>
      <w:rPr>
        <w:rFonts w:ascii="標楷體" w:eastAsia="標楷體" w:hAnsi="Calibri" w:cs="Times New Roman"/>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63847ACD"/>
    <w:multiLevelType w:val="hybridMultilevel"/>
    <w:tmpl w:val="DD4E7B76"/>
    <w:lvl w:ilvl="0" w:tplc="AACCFD38">
      <w:start w:val="1"/>
      <w:numFmt w:val="taiwaneseCountingThousand"/>
      <w:lvlText w:val="%1、"/>
      <w:lvlJc w:val="left"/>
      <w:pPr>
        <w:ind w:left="480" w:hanging="480"/>
      </w:pPr>
      <w:rPr>
        <w:rFonts w:ascii="標楷體" w:eastAsia="標楷體" w:hAnsi="Calibri"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6"/>
  </w:num>
  <w:num w:numId="4">
    <w:abstractNumId w:val="5"/>
  </w:num>
  <w:num w:numId="5">
    <w:abstractNumId w:val="5"/>
    <w:lvlOverride w:ilvl="0">
      <w:startOverride w:val="1"/>
    </w:lvlOverride>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drawingGridHorizontalSpacing w:val="120"/>
  <w:drawingGridVerticalSpacing w:val="36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80"/>
    <w:rsid w:val="000E2C82"/>
    <w:rsid w:val="00144270"/>
    <w:rsid w:val="001A3E80"/>
    <w:rsid w:val="003B0FEE"/>
    <w:rsid w:val="004937CC"/>
    <w:rsid w:val="00585DAC"/>
    <w:rsid w:val="00647452"/>
    <w:rsid w:val="00683B7F"/>
    <w:rsid w:val="007435D5"/>
    <w:rsid w:val="00950CE5"/>
    <w:rsid w:val="009D44A0"/>
    <w:rsid w:val="00A36C1C"/>
    <w:rsid w:val="00A67AFF"/>
    <w:rsid w:val="00D568F6"/>
    <w:rsid w:val="00E06D4B"/>
    <w:rsid w:val="00F178CB"/>
    <w:rsid w:val="00FA02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435D5"/>
    <w:pPr>
      <w:ind w:leftChars="200" w:left="480"/>
    </w:pPr>
  </w:style>
  <w:style w:type="paragraph" w:customStyle="1" w:styleId="1">
    <w:name w:val="樣式1"/>
    <w:basedOn w:val="a3"/>
    <w:link w:val="10"/>
    <w:qFormat/>
    <w:rsid w:val="00A67AFF"/>
    <w:pPr>
      <w:numPr>
        <w:numId w:val="4"/>
      </w:numPr>
      <w:ind w:leftChars="0" w:left="0" w:hanging="544"/>
    </w:pPr>
    <w:rPr>
      <w:rFonts w:ascii="標楷體" w:eastAsia="標楷體" w:hAnsi="標楷體"/>
      <w:sz w:val="22"/>
    </w:rPr>
  </w:style>
  <w:style w:type="table" w:styleId="a5">
    <w:name w:val="Table Grid"/>
    <w:basedOn w:val="a1"/>
    <w:uiPriority w:val="59"/>
    <w:rsid w:val="0058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basedOn w:val="a0"/>
    <w:link w:val="a3"/>
    <w:uiPriority w:val="34"/>
    <w:rsid w:val="00A67AFF"/>
  </w:style>
  <w:style w:type="character" w:customStyle="1" w:styleId="10">
    <w:name w:val="樣式1 字元"/>
    <w:basedOn w:val="a4"/>
    <w:link w:val="1"/>
    <w:rsid w:val="00A67AFF"/>
    <w:rPr>
      <w:rFonts w:ascii="標楷體" w:eastAsia="標楷體" w:hAnsi="標楷體"/>
      <w:sz w:val="22"/>
    </w:rPr>
  </w:style>
  <w:style w:type="character" w:styleId="a6">
    <w:name w:val="annotation reference"/>
    <w:basedOn w:val="a0"/>
    <w:uiPriority w:val="99"/>
    <w:semiHidden/>
    <w:unhideWhenUsed/>
    <w:rsid w:val="00144270"/>
    <w:rPr>
      <w:sz w:val="18"/>
      <w:szCs w:val="18"/>
    </w:rPr>
  </w:style>
  <w:style w:type="paragraph" w:styleId="a7">
    <w:name w:val="annotation text"/>
    <w:basedOn w:val="a"/>
    <w:link w:val="a8"/>
    <w:uiPriority w:val="99"/>
    <w:semiHidden/>
    <w:unhideWhenUsed/>
    <w:rsid w:val="00144270"/>
  </w:style>
  <w:style w:type="character" w:customStyle="1" w:styleId="a8">
    <w:name w:val="註解文字 字元"/>
    <w:basedOn w:val="a0"/>
    <w:link w:val="a7"/>
    <w:uiPriority w:val="99"/>
    <w:semiHidden/>
    <w:rsid w:val="00144270"/>
  </w:style>
  <w:style w:type="paragraph" w:styleId="a9">
    <w:name w:val="annotation subject"/>
    <w:basedOn w:val="a7"/>
    <w:next w:val="a7"/>
    <w:link w:val="aa"/>
    <w:uiPriority w:val="99"/>
    <w:semiHidden/>
    <w:unhideWhenUsed/>
    <w:rsid w:val="00144270"/>
    <w:rPr>
      <w:b/>
      <w:bCs/>
    </w:rPr>
  </w:style>
  <w:style w:type="character" w:customStyle="1" w:styleId="aa">
    <w:name w:val="註解主旨 字元"/>
    <w:basedOn w:val="a8"/>
    <w:link w:val="a9"/>
    <w:uiPriority w:val="99"/>
    <w:semiHidden/>
    <w:rsid w:val="00144270"/>
    <w:rPr>
      <w:b/>
      <w:bCs/>
    </w:rPr>
  </w:style>
  <w:style w:type="paragraph" w:styleId="ab">
    <w:name w:val="Balloon Text"/>
    <w:basedOn w:val="a"/>
    <w:link w:val="ac"/>
    <w:uiPriority w:val="99"/>
    <w:semiHidden/>
    <w:unhideWhenUsed/>
    <w:rsid w:val="0014427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44270"/>
    <w:rPr>
      <w:rFonts w:asciiTheme="majorHAnsi" w:eastAsiaTheme="majorEastAsia" w:hAnsiTheme="majorHAnsi" w:cstheme="majorBidi"/>
      <w:sz w:val="18"/>
      <w:szCs w:val="18"/>
    </w:rPr>
  </w:style>
  <w:style w:type="paragraph" w:styleId="ad">
    <w:name w:val="header"/>
    <w:basedOn w:val="a"/>
    <w:link w:val="ae"/>
    <w:uiPriority w:val="99"/>
    <w:unhideWhenUsed/>
    <w:rsid w:val="004937CC"/>
    <w:pPr>
      <w:tabs>
        <w:tab w:val="center" w:pos="4153"/>
        <w:tab w:val="right" w:pos="8306"/>
      </w:tabs>
      <w:snapToGrid w:val="0"/>
    </w:pPr>
    <w:rPr>
      <w:sz w:val="20"/>
      <w:szCs w:val="20"/>
    </w:rPr>
  </w:style>
  <w:style w:type="character" w:customStyle="1" w:styleId="ae">
    <w:name w:val="頁首 字元"/>
    <w:basedOn w:val="a0"/>
    <w:link w:val="ad"/>
    <w:uiPriority w:val="99"/>
    <w:rsid w:val="004937CC"/>
    <w:rPr>
      <w:sz w:val="20"/>
      <w:szCs w:val="20"/>
    </w:rPr>
  </w:style>
  <w:style w:type="paragraph" w:styleId="af">
    <w:name w:val="footer"/>
    <w:basedOn w:val="a"/>
    <w:link w:val="af0"/>
    <w:uiPriority w:val="99"/>
    <w:unhideWhenUsed/>
    <w:rsid w:val="004937CC"/>
    <w:pPr>
      <w:tabs>
        <w:tab w:val="center" w:pos="4153"/>
        <w:tab w:val="right" w:pos="8306"/>
      </w:tabs>
      <w:snapToGrid w:val="0"/>
    </w:pPr>
    <w:rPr>
      <w:sz w:val="20"/>
      <w:szCs w:val="20"/>
    </w:rPr>
  </w:style>
  <w:style w:type="character" w:customStyle="1" w:styleId="af0">
    <w:name w:val="頁尾 字元"/>
    <w:basedOn w:val="a0"/>
    <w:link w:val="af"/>
    <w:uiPriority w:val="99"/>
    <w:rsid w:val="004937C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435D5"/>
    <w:pPr>
      <w:ind w:leftChars="200" w:left="480"/>
    </w:pPr>
  </w:style>
  <w:style w:type="paragraph" w:customStyle="1" w:styleId="1">
    <w:name w:val="樣式1"/>
    <w:basedOn w:val="a3"/>
    <w:link w:val="10"/>
    <w:qFormat/>
    <w:rsid w:val="00A67AFF"/>
    <w:pPr>
      <w:numPr>
        <w:numId w:val="4"/>
      </w:numPr>
      <w:ind w:leftChars="0" w:left="0" w:hanging="544"/>
    </w:pPr>
    <w:rPr>
      <w:rFonts w:ascii="標楷體" w:eastAsia="標楷體" w:hAnsi="標楷體"/>
      <w:sz w:val="22"/>
    </w:rPr>
  </w:style>
  <w:style w:type="table" w:styleId="a5">
    <w:name w:val="Table Grid"/>
    <w:basedOn w:val="a1"/>
    <w:uiPriority w:val="59"/>
    <w:rsid w:val="0058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basedOn w:val="a0"/>
    <w:link w:val="a3"/>
    <w:uiPriority w:val="34"/>
    <w:rsid w:val="00A67AFF"/>
  </w:style>
  <w:style w:type="character" w:customStyle="1" w:styleId="10">
    <w:name w:val="樣式1 字元"/>
    <w:basedOn w:val="a4"/>
    <w:link w:val="1"/>
    <w:rsid w:val="00A67AFF"/>
    <w:rPr>
      <w:rFonts w:ascii="標楷體" w:eastAsia="標楷體" w:hAnsi="標楷體"/>
      <w:sz w:val="22"/>
    </w:rPr>
  </w:style>
  <w:style w:type="character" w:styleId="a6">
    <w:name w:val="annotation reference"/>
    <w:basedOn w:val="a0"/>
    <w:uiPriority w:val="99"/>
    <w:semiHidden/>
    <w:unhideWhenUsed/>
    <w:rsid w:val="00144270"/>
    <w:rPr>
      <w:sz w:val="18"/>
      <w:szCs w:val="18"/>
    </w:rPr>
  </w:style>
  <w:style w:type="paragraph" w:styleId="a7">
    <w:name w:val="annotation text"/>
    <w:basedOn w:val="a"/>
    <w:link w:val="a8"/>
    <w:uiPriority w:val="99"/>
    <w:semiHidden/>
    <w:unhideWhenUsed/>
    <w:rsid w:val="00144270"/>
  </w:style>
  <w:style w:type="character" w:customStyle="1" w:styleId="a8">
    <w:name w:val="註解文字 字元"/>
    <w:basedOn w:val="a0"/>
    <w:link w:val="a7"/>
    <w:uiPriority w:val="99"/>
    <w:semiHidden/>
    <w:rsid w:val="00144270"/>
  </w:style>
  <w:style w:type="paragraph" w:styleId="a9">
    <w:name w:val="annotation subject"/>
    <w:basedOn w:val="a7"/>
    <w:next w:val="a7"/>
    <w:link w:val="aa"/>
    <w:uiPriority w:val="99"/>
    <w:semiHidden/>
    <w:unhideWhenUsed/>
    <w:rsid w:val="00144270"/>
    <w:rPr>
      <w:b/>
      <w:bCs/>
    </w:rPr>
  </w:style>
  <w:style w:type="character" w:customStyle="1" w:styleId="aa">
    <w:name w:val="註解主旨 字元"/>
    <w:basedOn w:val="a8"/>
    <w:link w:val="a9"/>
    <w:uiPriority w:val="99"/>
    <w:semiHidden/>
    <w:rsid w:val="00144270"/>
    <w:rPr>
      <w:b/>
      <w:bCs/>
    </w:rPr>
  </w:style>
  <w:style w:type="paragraph" w:styleId="ab">
    <w:name w:val="Balloon Text"/>
    <w:basedOn w:val="a"/>
    <w:link w:val="ac"/>
    <w:uiPriority w:val="99"/>
    <w:semiHidden/>
    <w:unhideWhenUsed/>
    <w:rsid w:val="0014427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44270"/>
    <w:rPr>
      <w:rFonts w:asciiTheme="majorHAnsi" w:eastAsiaTheme="majorEastAsia" w:hAnsiTheme="majorHAnsi" w:cstheme="majorBidi"/>
      <w:sz w:val="18"/>
      <w:szCs w:val="18"/>
    </w:rPr>
  </w:style>
  <w:style w:type="paragraph" w:styleId="ad">
    <w:name w:val="header"/>
    <w:basedOn w:val="a"/>
    <w:link w:val="ae"/>
    <w:uiPriority w:val="99"/>
    <w:unhideWhenUsed/>
    <w:rsid w:val="004937CC"/>
    <w:pPr>
      <w:tabs>
        <w:tab w:val="center" w:pos="4153"/>
        <w:tab w:val="right" w:pos="8306"/>
      </w:tabs>
      <w:snapToGrid w:val="0"/>
    </w:pPr>
    <w:rPr>
      <w:sz w:val="20"/>
      <w:szCs w:val="20"/>
    </w:rPr>
  </w:style>
  <w:style w:type="character" w:customStyle="1" w:styleId="ae">
    <w:name w:val="頁首 字元"/>
    <w:basedOn w:val="a0"/>
    <w:link w:val="ad"/>
    <w:uiPriority w:val="99"/>
    <w:rsid w:val="004937CC"/>
    <w:rPr>
      <w:sz w:val="20"/>
      <w:szCs w:val="20"/>
    </w:rPr>
  </w:style>
  <w:style w:type="paragraph" w:styleId="af">
    <w:name w:val="footer"/>
    <w:basedOn w:val="a"/>
    <w:link w:val="af0"/>
    <w:uiPriority w:val="99"/>
    <w:unhideWhenUsed/>
    <w:rsid w:val="004937CC"/>
    <w:pPr>
      <w:tabs>
        <w:tab w:val="center" w:pos="4153"/>
        <w:tab w:val="right" w:pos="8306"/>
      </w:tabs>
      <w:snapToGrid w:val="0"/>
    </w:pPr>
    <w:rPr>
      <w:sz w:val="20"/>
      <w:szCs w:val="20"/>
    </w:rPr>
  </w:style>
  <w:style w:type="character" w:customStyle="1" w:styleId="af0">
    <w:name w:val="頁尾 字元"/>
    <w:basedOn w:val="a0"/>
    <w:link w:val="af"/>
    <w:uiPriority w:val="99"/>
    <w:rsid w:val="004937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0265-9B97-483C-9AEB-31B597A4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資本市場部債券科助理襄理 - 孫玉英</dc:creator>
  <cp:lastModifiedBy>債券部業務襄理 - 蔡秉寰</cp:lastModifiedBy>
  <cp:revision>8</cp:revision>
  <cp:lastPrinted>2018-01-22T08:22:00Z</cp:lastPrinted>
  <dcterms:created xsi:type="dcterms:W3CDTF">2018-01-22T03:42:00Z</dcterms:created>
  <dcterms:modified xsi:type="dcterms:W3CDTF">2018-01-25T02:01:00Z</dcterms:modified>
</cp:coreProperties>
</file>