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4B2341" w:rsidRDefault="009A7DB9" w:rsidP="00BE4C95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501EF" w:rsidRPr="00F912A5">
        <w:rPr>
          <w:rFonts w:ascii="標楷體" w:eastAsia="標楷體" w:hAnsi="標楷體" w:hint="eastAsia"/>
          <w:sz w:val="27"/>
          <w:szCs w:val="27"/>
        </w:rPr>
        <w:t>9,866.5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40D84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40D84">
        <w:rPr>
          <w:rFonts w:ascii="標楷體" w:eastAsia="標楷體" w:hAnsi="標楷體" w:hint="eastAsia"/>
          <w:sz w:val="27"/>
          <w:szCs w:val="27"/>
        </w:rPr>
        <w:t>央行</w:t>
      </w:r>
      <w:r w:rsidR="00C40D84" w:rsidRPr="00C40D84">
        <w:rPr>
          <w:rFonts w:ascii="標楷體" w:eastAsia="標楷體" w:hAnsi="標楷體" w:hint="eastAsia"/>
          <w:sz w:val="27"/>
          <w:szCs w:val="27"/>
        </w:rPr>
        <w:t>減發存單</w:t>
      </w:r>
      <w:proofErr w:type="gramEnd"/>
      <w:r w:rsidR="00C40D84" w:rsidRPr="00C40D84">
        <w:rPr>
          <w:rFonts w:ascii="標楷體" w:eastAsia="標楷體" w:hAnsi="標楷體" w:hint="eastAsia"/>
          <w:sz w:val="27"/>
          <w:szCs w:val="27"/>
        </w:rPr>
        <w:t>，加上台積電現金股利發放至各銀行，讓原本「凍結」的資金解凍，流動性有些緩解，市場資金分配不均之勢稍有改善，銀行體系資金供給正常，在流動性</w:t>
      </w:r>
      <w:proofErr w:type="gramStart"/>
      <w:r w:rsidR="00C40D84" w:rsidRPr="00C40D84">
        <w:rPr>
          <w:rFonts w:ascii="標楷體" w:eastAsia="標楷體" w:hAnsi="標楷體" w:hint="eastAsia"/>
          <w:sz w:val="27"/>
          <w:szCs w:val="27"/>
        </w:rPr>
        <w:t>轉佳下</w:t>
      </w:r>
      <w:proofErr w:type="gramEnd"/>
      <w:r w:rsidR="00C40D84" w:rsidRPr="00C40D84">
        <w:rPr>
          <w:rFonts w:ascii="標楷體" w:eastAsia="標楷體" w:hAnsi="標楷體" w:hint="eastAsia"/>
          <w:sz w:val="27"/>
          <w:szCs w:val="27"/>
        </w:rPr>
        <w:t>，利率主要成交於近期水準未再向上突破，周末前集保公布前一交易日30天期自保票平均利率0.605% ，仍在近三周高位附近徘徊。30天期票</w:t>
      </w:r>
      <w:proofErr w:type="gramStart"/>
      <w:r w:rsidR="00C40D84" w:rsidRPr="00C40D8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40D84" w:rsidRPr="00C40D84">
        <w:rPr>
          <w:rFonts w:ascii="標楷體" w:eastAsia="標楷體" w:hAnsi="標楷體" w:hint="eastAsia"/>
          <w:sz w:val="27"/>
          <w:szCs w:val="27"/>
        </w:rPr>
        <w:t>次級利率成交在0.54%-0.62%；拆款利率則拆在0.28%~0.62%區間。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4B2341" w:rsidRPr="004B2341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會（Fed）降息預期升溫，美元走勢疲弱、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亞幣氣勢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如虹，加上外資匯出現金股利，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市交投熱絡，上周五一天就爆出逾20億美元大量，新台幣兌美元匯率上周五（19日）收在31.05元，升值2.7分，總成交量20.06億美元。累計上周新台幣匯率升值3.1分，升幅0.1%。</w:t>
      </w:r>
      <w:r w:rsidR="00C22469" w:rsidRPr="004B2341">
        <w:rPr>
          <w:rFonts w:ascii="標楷體" w:eastAsia="標楷體" w:hAnsi="標楷體" w:hint="eastAsia"/>
          <w:sz w:val="27"/>
          <w:szCs w:val="27"/>
        </w:rPr>
        <w:t>新台幣兌</w:t>
      </w:r>
      <w:proofErr w:type="gramStart"/>
      <w:r w:rsidR="00C22469" w:rsidRPr="004B2341">
        <w:rPr>
          <w:rFonts w:ascii="標楷體" w:eastAsia="標楷體" w:hAnsi="標楷體" w:hint="eastAsia"/>
          <w:sz w:val="27"/>
          <w:szCs w:val="27"/>
        </w:rPr>
        <w:t>美元亦升至</w:t>
      </w:r>
      <w:proofErr w:type="gramEnd"/>
      <w:r w:rsidR="00C22469" w:rsidRPr="004B2341">
        <w:rPr>
          <w:rFonts w:ascii="標楷體" w:eastAsia="標楷體" w:hAnsi="標楷體" w:hint="eastAsia"/>
          <w:sz w:val="27"/>
          <w:szCs w:val="27"/>
        </w:rPr>
        <w:t>本月來高位附近</w:t>
      </w:r>
      <w:r w:rsidR="001B2C30" w:rsidRPr="004B2341">
        <w:rPr>
          <w:rFonts w:ascii="標楷體" w:eastAsia="標楷體" w:hAnsi="標楷體" w:hint="eastAsia"/>
          <w:sz w:val="27"/>
          <w:szCs w:val="27"/>
        </w:rPr>
        <w:t>，</w:t>
      </w:r>
      <w:r w:rsidR="00057D76" w:rsidRPr="004B234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4B23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4B2341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4B2341">
        <w:rPr>
          <w:rFonts w:ascii="標楷體" w:eastAsia="標楷體" w:hAnsi="標楷體" w:hint="eastAsia"/>
          <w:sz w:val="27"/>
          <w:szCs w:val="27"/>
        </w:rPr>
        <w:t>1</w:t>
      </w:r>
      <w:r w:rsidR="007363C5">
        <w:rPr>
          <w:rFonts w:ascii="標楷體" w:eastAsia="標楷體" w:hAnsi="標楷體" w:hint="eastAsia"/>
          <w:sz w:val="27"/>
          <w:szCs w:val="27"/>
        </w:rPr>
        <w:t>.</w:t>
      </w:r>
      <w:bookmarkStart w:id="0" w:name="_GoBack"/>
      <w:bookmarkEnd w:id="0"/>
      <w:r w:rsidR="004B2341" w:rsidRPr="004B2341">
        <w:rPr>
          <w:rFonts w:ascii="標楷體" w:eastAsia="標楷體" w:hAnsi="標楷體" w:hint="eastAsia"/>
          <w:sz w:val="27"/>
          <w:szCs w:val="27"/>
        </w:rPr>
        <w:t>02</w:t>
      </w:r>
      <w:r w:rsidR="00057D76" w:rsidRPr="004B2341">
        <w:rPr>
          <w:rFonts w:ascii="標楷體" w:eastAsia="標楷體" w:hAnsi="標楷體" w:hint="eastAsia"/>
          <w:sz w:val="27"/>
          <w:szCs w:val="27"/>
        </w:rPr>
        <w:t>~31.</w:t>
      </w:r>
      <w:r w:rsidR="004B2341" w:rsidRPr="004B2341">
        <w:rPr>
          <w:rFonts w:ascii="標楷體" w:eastAsia="標楷體" w:hAnsi="標楷體" w:hint="eastAsia"/>
          <w:sz w:val="27"/>
          <w:szCs w:val="27"/>
        </w:rPr>
        <w:t>102</w:t>
      </w:r>
      <w:r w:rsidR="00057D76" w:rsidRPr="004B2341">
        <w:rPr>
          <w:rFonts w:ascii="標楷體" w:eastAsia="標楷體" w:hAnsi="標楷體" w:hint="eastAsia"/>
          <w:sz w:val="27"/>
          <w:szCs w:val="27"/>
        </w:rPr>
        <w:t>。</w:t>
      </w:r>
    </w:p>
    <w:p w:rsidR="00825E2C" w:rsidRPr="00825E2C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872BB7" w:rsidRPr="004B2341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40D84">
        <w:rPr>
          <w:rFonts w:ascii="標楷體" w:eastAsia="標楷體" w:hAnsi="標楷體" w:hint="eastAsia"/>
          <w:sz w:val="27"/>
          <w:szCs w:val="27"/>
        </w:rPr>
        <w:t>5,718.1</w:t>
      </w:r>
      <w:r w:rsidRPr="00DB67F3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31362B" w:rsidRPr="00DA590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1362B" w:rsidRPr="00DA590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1362B" w:rsidRPr="00DA590D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082E23" w:rsidRPr="00F912A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82E23" w:rsidRPr="00F912A5">
        <w:rPr>
          <w:rFonts w:ascii="標楷體" w:eastAsia="標楷體" w:hAnsi="標楷體" w:hint="eastAsia"/>
          <w:sz w:val="27"/>
          <w:szCs w:val="27"/>
        </w:rPr>
        <w:t>若</w:t>
      </w:r>
      <w:r w:rsidR="00DA590D" w:rsidRPr="00DA590D">
        <w:rPr>
          <w:rFonts w:ascii="標楷體" w:eastAsia="標楷體" w:hAnsi="標楷體" w:hint="eastAsia"/>
          <w:sz w:val="27"/>
          <w:szCs w:val="27"/>
        </w:rPr>
        <w:t>上週</w:t>
      </w:r>
      <w:r w:rsidR="0031362B" w:rsidRPr="00DA590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1362B" w:rsidRPr="00DA590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362B" w:rsidRPr="00DA590D">
        <w:rPr>
          <w:rFonts w:ascii="標楷體" w:eastAsia="標楷體" w:hAnsi="標楷體" w:hint="eastAsia"/>
          <w:sz w:val="27"/>
          <w:szCs w:val="27"/>
        </w:rPr>
        <w:t>注整體市場寬鬆力道有限</w:t>
      </w:r>
      <w:r w:rsidR="004774F2">
        <w:rPr>
          <w:rFonts w:ascii="標楷體" w:eastAsia="標楷體" w:hAnsi="標楷體" w:hint="eastAsia"/>
          <w:sz w:val="27"/>
          <w:szCs w:val="27"/>
        </w:rPr>
        <w:t>，</w:t>
      </w:r>
      <w:r w:rsidR="004D7F49" w:rsidRPr="004D7F4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除週一存單到期量較大，後續緊縮因子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除周三台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塑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石化發行111億元公司債，周五國庫短期借款200億元外；7月月底前尚有多家公司發放大額現金股利，本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則有周四台塑石化發放現金股利457.2億元，周五南亞科217億元，台達電129.9億元，元大金105億元，預期持續影響市場資金擴大進出波動，短率亦恐有趨升之虞。交易部操作上，應視市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彈性報價，並優先爭取</w:t>
      </w:r>
      <w:proofErr w:type="gramStart"/>
      <w:r w:rsidR="004D7F49" w:rsidRPr="004D7F4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4D7F49" w:rsidRPr="004D7F49">
        <w:rPr>
          <w:rFonts w:ascii="標楷體" w:eastAsia="標楷體" w:hAnsi="標楷體" w:hint="eastAsia"/>
          <w:sz w:val="27"/>
          <w:szCs w:val="27"/>
        </w:rPr>
        <w:t>跨月資金，藉以適當規避調度風險。</w:t>
      </w:r>
      <w:r w:rsidR="00057D76" w:rsidRPr="004B2341">
        <w:rPr>
          <w:rFonts w:ascii="標楷體" w:eastAsia="標楷體" w:hAnsi="標楷體" w:hint="eastAsia"/>
          <w:sz w:val="27"/>
          <w:szCs w:val="27"/>
        </w:rPr>
        <w:t>匯率方面，</w:t>
      </w:r>
      <w:r w:rsidR="004B2341" w:rsidRPr="004B2341">
        <w:rPr>
          <w:rFonts w:ascii="標楷體" w:eastAsia="標楷體" w:hAnsi="標楷體" w:hint="eastAsia"/>
          <w:sz w:val="27"/>
          <w:szCs w:val="27"/>
        </w:rPr>
        <w:t>美國6月零售數據優於預期，聯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會褐皮書顯示企業擔憂貿易不確定性，但整體美國經濟展望仍屬正面，不過，聯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會主席鮑爾重申採取適當措施維持景氣擴張，聯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會官員發表鴿派言論，加深市場對聯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會降息的期待。展望後市，近期美國經濟數據變化呈現小幅優於預期的現象，聯</w:t>
      </w:r>
      <w:proofErr w:type="gramStart"/>
      <w:r w:rsidR="004B2341" w:rsidRPr="004B234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B2341" w:rsidRPr="004B2341">
        <w:rPr>
          <w:rFonts w:ascii="標楷體" w:eastAsia="標楷體" w:hAnsi="標楷體" w:hint="eastAsia"/>
          <w:sz w:val="27"/>
          <w:szCs w:val="27"/>
        </w:rPr>
        <w:t>會官員們的談話成為7月底利率政策會議前的關注焦點，此外月底美、歐兩大央行的利率決策會議動向，也受到近期市場矚目，短期美元指數走勢則受上述因素影響而波動。</w:t>
      </w:r>
      <w:r w:rsidR="004B2341">
        <w:rPr>
          <w:rFonts w:ascii="標楷體" w:eastAsia="標楷體" w:hAnsi="標楷體" w:hint="eastAsia"/>
          <w:sz w:val="27"/>
          <w:szCs w:val="27"/>
        </w:rPr>
        <w:t>預估短期內</w:t>
      </w:r>
      <w:r w:rsidR="004B2341" w:rsidRPr="004B2341">
        <w:rPr>
          <w:rFonts w:ascii="標楷體" w:eastAsia="標楷體" w:hAnsi="標楷體" w:hint="eastAsia"/>
          <w:sz w:val="27"/>
          <w:szCs w:val="27"/>
        </w:rPr>
        <w:t>新台幣匯率將維持30.9~31.2元區間震盪格局。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501EF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501EF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2,512.5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501EF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501EF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717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501EF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501EF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747.6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501EF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9501EF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760</w:t>
            </w:r>
            <w:r w:rsidR="00981BA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501EF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9501EF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981</w:t>
            </w:r>
            <w:r w:rsidR="00636C78" w:rsidRPr="0067575F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9501EF" w:rsidP="009501EF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81BA8" w:rsidRPr="00D33FC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718.1</w:t>
            </w:r>
            <w:r w:rsidR="00636C78" w:rsidRPr="00D33FC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AE" w:rsidRDefault="00F424AE" w:rsidP="00FC15B9">
      <w:r>
        <w:separator/>
      </w:r>
    </w:p>
  </w:endnote>
  <w:endnote w:type="continuationSeparator" w:id="0">
    <w:p w:rsidR="00F424AE" w:rsidRDefault="00F424A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AE" w:rsidRDefault="00F424AE" w:rsidP="00FC15B9">
      <w:r>
        <w:separator/>
      </w:r>
    </w:p>
  </w:footnote>
  <w:footnote w:type="continuationSeparator" w:id="0">
    <w:p w:rsidR="00F424AE" w:rsidRDefault="00F424A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968"/>
    <w:rsid w:val="005849AF"/>
    <w:rsid w:val="005849E3"/>
    <w:rsid w:val="00584A56"/>
    <w:rsid w:val="00584B39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82A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08C6-9898-48AD-A449-291A429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935</Characters>
  <Application>Microsoft Office Word</Application>
  <DocSecurity>0</DocSecurity>
  <Lines>7</Lines>
  <Paragraphs>2</Paragraphs>
  <ScaleCrop>false</ScaleCrop>
  <Company>大中票券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2019-07-22T00:28:00Z</cp:lastPrinted>
  <dcterms:created xsi:type="dcterms:W3CDTF">2019-07-22T00:29:00Z</dcterms:created>
  <dcterms:modified xsi:type="dcterms:W3CDTF">2019-07-22T00:34:00Z</dcterms:modified>
</cp:coreProperties>
</file>