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76AC9F9E" w:rsidR="00F46D09" w:rsidRPr="00A86415" w:rsidRDefault="00C034E5" w:rsidP="007A6CB8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5F064C" w:rsidRPr="005F064C">
        <w:rPr>
          <w:rFonts w:ascii="標楷體" w:eastAsia="標楷體" w:hAnsi="標楷體" w:hint="eastAsia"/>
          <w:sz w:val="27"/>
          <w:szCs w:val="27"/>
        </w:rPr>
        <w:t>2兆305.8</w:t>
      </w:r>
      <w:r w:rsidR="00EB42CB" w:rsidRPr="00781865">
        <w:rPr>
          <w:rFonts w:ascii="標楷體" w:eastAsia="標楷體" w:hAnsi="標楷體" w:hint="eastAsia"/>
          <w:sz w:val="27"/>
          <w:szCs w:val="27"/>
        </w:rPr>
        <w:t>億元</w:t>
      </w:r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26910377"/>
      <w:r w:rsidR="007777BF">
        <w:rPr>
          <w:rFonts w:ascii="標楷體" w:eastAsia="標楷體" w:hAnsi="標楷體" w:hint="eastAsia"/>
          <w:sz w:val="27"/>
          <w:szCs w:val="27"/>
        </w:rPr>
        <w:t>上週</w:t>
      </w:r>
      <w:r w:rsidR="007777BF" w:rsidRPr="007777BF">
        <w:rPr>
          <w:rFonts w:ascii="標楷體" w:eastAsia="標楷體" w:hAnsi="標楷體" w:hint="eastAsia"/>
          <w:sz w:val="27"/>
          <w:szCs w:val="27"/>
        </w:rPr>
        <w:t>市場上資金分配不均，且考量央行升息前景，拆款與短票利率持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，且有財政部標售5年期公債300億元發行交割，其中銀行業得標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佔比逾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八成創歷史新高，其交割款主要將收縮銀行體系資金，加上月底將至，投信貨幣基金贖回明顯擴大，整體貨幣市場資金偏緊，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短率向區間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高檔靠攏。集保公布30天期自保票上交易日成交利率1.309%。30天期票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次級利率主要在1.31%；拆款利率跨月成交在1.30%~1.31%</w:t>
      </w:r>
      <w:r w:rsidR="00EF58FD" w:rsidRPr="00781865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A86415">
        <w:rPr>
          <w:rFonts w:ascii="標楷體" w:eastAsia="標楷體" w:hAnsi="標楷體" w:hint="eastAsia"/>
          <w:sz w:val="27"/>
          <w:szCs w:val="27"/>
        </w:rPr>
        <w:t>匯率方面，</w:t>
      </w:r>
      <w:r w:rsidR="001C25D7" w:rsidRPr="00A86415">
        <w:rPr>
          <w:rFonts w:ascii="標楷體" w:eastAsia="標楷體" w:hAnsi="標楷體" w:hint="eastAsia"/>
          <w:sz w:val="27"/>
          <w:szCs w:val="27"/>
        </w:rPr>
        <w:t>上週</w:t>
      </w:r>
      <w:r w:rsidR="00FE2A27" w:rsidRPr="00A86415">
        <w:rPr>
          <w:rFonts w:ascii="標楷體" w:eastAsia="標楷體" w:hAnsi="標楷體" w:hint="eastAsia"/>
          <w:sz w:val="27"/>
          <w:szCs w:val="27"/>
        </w:rPr>
        <w:t>熱錢大舉湧入，上演股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匯雙漲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的激情戲碼，不只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台股寫近1年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新高，新台幣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市也爆出大量，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價連2紅，台北及元太外匯市場總成交金額放大至20.195億美元，為近期大量</w:t>
      </w:r>
      <w:r w:rsidR="00FE2A27" w:rsidRPr="00A86415">
        <w:rPr>
          <w:rFonts w:ascii="標楷體" w:eastAsia="標楷體" w:hAnsi="標楷體" w:hint="eastAsia"/>
          <w:sz w:val="27"/>
          <w:szCs w:val="27"/>
        </w:rPr>
        <w:t>，</w:t>
      </w:r>
      <w:r w:rsidR="00FE2A27" w:rsidRPr="00A86415">
        <w:rPr>
          <w:rFonts w:ascii="標楷體" w:eastAsia="標楷體" w:hAnsi="標楷體" w:hint="eastAsia"/>
          <w:sz w:val="27"/>
          <w:szCs w:val="27"/>
        </w:rPr>
        <w:t>儘管強勢美元壓境，近日新台幣受惠熱錢匯入力挺，</w:t>
      </w:r>
      <w:r w:rsidR="00A86415" w:rsidRPr="00A86415">
        <w:rPr>
          <w:rFonts w:ascii="標楷體" w:eastAsia="標楷體" w:hAnsi="標楷體" w:hint="eastAsia"/>
          <w:sz w:val="27"/>
          <w:szCs w:val="27"/>
        </w:rPr>
        <w:t>在外資大舉匯入之下，</w:t>
      </w:r>
      <w:proofErr w:type="gramStart"/>
      <w:r w:rsidR="00A86415" w:rsidRPr="00A8641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86415" w:rsidRPr="00A86415">
        <w:rPr>
          <w:rFonts w:ascii="標楷體" w:eastAsia="標楷體" w:hAnsi="標楷體" w:hint="eastAsia"/>
          <w:sz w:val="27"/>
          <w:szCs w:val="27"/>
        </w:rPr>
        <w:t>價穩步走揚</w:t>
      </w:r>
      <w:r w:rsidR="00A86415" w:rsidRPr="00A86415">
        <w:rPr>
          <w:rFonts w:ascii="標楷體" w:eastAsia="標楷體" w:hAnsi="標楷體" w:hint="eastAsia"/>
          <w:sz w:val="27"/>
          <w:szCs w:val="27"/>
        </w:rPr>
        <w:t>，</w:t>
      </w:r>
      <w:r w:rsidR="00FE2A27" w:rsidRPr="00A86415">
        <w:rPr>
          <w:rFonts w:ascii="標楷體" w:eastAsia="標楷體" w:hAnsi="標楷體" w:hint="eastAsia"/>
          <w:sz w:val="27"/>
          <w:szCs w:val="27"/>
        </w:rPr>
        <w:t>得以收復部分失土，在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亞幣中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相對有撐</w:t>
      </w:r>
      <w:r w:rsidR="007A6CB8" w:rsidRPr="00A86415">
        <w:rPr>
          <w:rFonts w:ascii="標楷體" w:eastAsia="標楷體" w:hAnsi="標楷體" w:hint="eastAsia"/>
          <w:sz w:val="27"/>
          <w:szCs w:val="27"/>
        </w:rPr>
        <w:t>。新台幣本</w:t>
      </w:r>
      <w:proofErr w:type="gramStart"/>
      <w:r w:rsidR="007A6CB8" w:rsidRPr="00A864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A6CB8" w:rsidRPr="00A86415">
        <w:rPr>
          <w:rFonts w:ascii="標楷體" w:eastAsia="標楷體" w:hAnsi="標楷體" w:hint="eastAsia"/>
          <w:sz w:val="27"/>
          <w:szCs w:val="27"/>
        </w:rPr>
        <w:t>累計升值7.6分，</w:t>
      </w:r>
      <w:proofErr w:type="gramStart"/>
      <w:r w:rsidR="007A6CB8" w:rsidRPr="00A864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A6CB8" w:rsidRPr="00A86415">
        <w:rPr>
          <w:rFonts w:ascii="標楷體" w:eastAsia="標楷體" w:hAnsi="標楷體" w:hint="eastAsia"/>
          <w:sz w:val="27"/>
          <w:szCs w:val="27"/>
        </w:rPr>
        <w:t>線翻紅</w:t>
      </w:r>
      <w:r w:rsidR="00EF1935" w:rsidRPr="00A86415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EF1935" w:rsidRPr="00A864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A86415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A86415">
        <w:rPr>
          <w:rFonts w:ascii="標楷體" w:eastAsia="標楷體" w:hAnsi="標楷體"/>
          <w:sz w:val="27"/>
          <w:szCs w:val="27"/>
        </w:rPr>
        <w:t>30.</w:t>
      </w:r>
      <w:r w:rsidR="00A86415" w:rsidRPr="00A86415">
        <w:rPr>
          <w:rFonts w:ascii="標楷體" w:eastAsia="標楷體" w:hAnsi="標楷體"/>
          <w:sz w:val="27"/>
          <w:szCs w:val="27"/>
        </w:rPr>
        <w:t>68</w:t>
      </w:r>
      <w:r w:rsidR="00225F14" w:rsidRPr="00A86415">
        <w:rPr>
          <w:rFonts w:ascii="標楷體" w:eastAsia="標楷體" w:hAnsi="標楷體"/>
          <w:sz w:val="27"/>
          <w:szCs w:val="27"/>
        </w:rPr>
        <w:t>~</w:t>
      </w:r>
      <w:r w:rsidR="00384876" w:rsidRPr="00A86415">
        <w:rPr>
          <w:rFonts w:ascii="標楷體" w:eastAsia="標楷體" w:hAnsi="標楷體" w:hint="eastAsia"/>
          <w:sz w:val="27"/>
          <w:szCs w:val="27"/>
        </w:rPr>
        <w:t>30</w:t>
      </w:r>
      <w:r w:rsidR="00225F14" w:rsidRPr="00A86415">
        <w:rPr>
          <w:rFonts w:ascii="標楷體" w:eastAsia="標楷體" w:hAnsi="標楷體"/>
          <w:sz w:val="27"/>
          <w:szCs w:val="27"/>
        </w:rPr>
        <w:t>.</w:t>
      </w:r>
      <w:r w:rsidR="002018F1" w:rsidRPr="00A86415">
        <w:rPr>
          <w:rFonts w:ascii="標楷體" w:eastAsia="標楷體" w:hAnsi="標楷體" w:hint="eastAsia"/>
          <w:sz w:val="27"/>
          <w:szCs w:val="27"/>
        </w:rPr>
        <w:t>7</w:t>
      </w:r>
      <w:r w:rsidR="00A86415" w:rsidRPr="00A86415">
        <w:rPr>
          <w:rFonts w:ascii="標楷體" w:eastAsia="標楷體" w:hAnsi="標楷體"/>
          <w:sz w:val="27"/>
          <w:szCs w:val="27"/>
        </w:rPr>
        <w:t>9</w:t>
      </w:r>
      <w:r w:rsidR="00225F14" w:rsidRPr="00A86415">
        <w:rPr>
          <w:rFonts w:ascii="標楷體" w:eastAsia="標楷體" w:hAnsi="標楷體" w:hint="eastAsia"/>
          <w:sz w:val="27"/>
          <w:szCs w:val="27"/>
        </w:rPr>
        <w:t>元</w:t>
      </w:r>
      <w:r w:rsidR="000D4C49" w:rsidRPr="00A86415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3415F266" w:rsidR="001B2E47" w:rsidRPr="0078186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78186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8186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FB81B4A" w14:textId="3ACA1C4E" w:rsidR="00A0366A" w:rsidRPr="00A86415" w:rsidRDefault="001B2E47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D0743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5F064C">
        <w:rPr>
          <w:rFonts w:ascii="標楷體" w:eastAsia="標楷體" w:hAnsi="標楷體" w:hint="eastAsia"/>
          <w:sz w:val="27"/>
          <w:szCs w:val="27"/>
        </w:rPr>
        <w:t>1</w:t>
      </w:r>
      <w:r w:rsidR="00C95F39" w:rsidRPr="00D07434">
        <w:rPr>
          <w:rFonts w:ascii="標楷體" w:eastAsia="標楷體" w:hAnsi="標楷體" w:hint="eastAsia"/>
          <w:sz w:val="27"/>
          <w:szCs w:val="27"/>
        </w:rPr>
        <w:t>兆</w:t>
      </w:r>
      <w:r w:rsidR="005F064C">
        <w:rPr>
          <w:rFonts w:ascii="標楷體" w:eastAsia="標楷體" w:hAnsi="標楷體" w:hint="eastAsia"/>
          <w:sz w:val="27"/>
          <w:szCs w:val="27"/>
        </w:rPr>
        <w:t>5</w:t>
      </w:r>
      <w:r w:rsidR="005F064C">
        <w:rPr>
          <w:rFonts w:ascii="標楷體" w:eastAsia="標楷體" w:hAnsi="標楷體"/>
          <w:sz w:val="27"/>
          <w:szCs w:val="27"/>
        </w:rPr>
        <w:t>67.1</w:t>
      </w:r>
      <w:r w:rsidR="00496F71" w:rsidRPr="00D07434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D07434">
        <w:rPr>
          <w:rFonts w:ascii="標楷體" w:eastAsia="標楷體" w:hAnsi="標楷體" w:hint="eastAsia"/>
          <w:sz w:val="27"/>
          <w:szCs w:val="27"/>
        </w:rPr>
        <w:t>，緊</w:t>
      </w:r>
      <w:r w:rsidRPr="00781865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1"/>
      <w:r w:rsidRPr="00781865">
        <w:rPr>
          <w:rFonts w:ascii="標楷體" w:eastAsia="標楷體" w:hAnsi="標楷體" w:hint="eastAsia"/>
          <w:sz w:val="27"/>
          <w:szCs w:val="27"/>
        </w:rPr>
        <w:t>沖銷</w:t>
      </w:r>
      <w:r w:rsidRPr="002601DD">
        <w:rPr>
          <w:rFonts w:ascii="標楷體" w:eastAsia="標楷體" w:hAnsi="標楷體" w:hint="eastAsia"/>
          <w:sz w:val="27"/>
          <w:szCs w:val="27"/>
        </w:rPr>
        <w:t>。</w:t>
      </w:r>
      <w:r w:rsidR="005F064C" w:rsidRPr="005F064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5F064C" w:rsidRPr="005F064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F064C" w:rsidRPr="005F064C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5F064C" w:rsidRPr="005F064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5F064C" w:rsidRPr="005F064C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5F064C" w:rsidRPr="005F064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F064C" w:rsidRPr="005F064C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5F064C" w:rsidRPr="005F064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5F064C" w:rsidRPr="005F064C">
        <w:rPr>
          <w:rFonts w:ascii="標楷體" w:eastAsia="標楷體" w:hAnsi="標楷體" w:hint="eastAsia"/>
          <w:sz w:val="27"/>
          <w:szCs w:val="27"/>
        </w:rPr>
        <w:t>若上週</w:t>
      </w:r>
      <w:r w:rsidR="00DA69A6" w:rsidRPr="00DA69A6">
        <w:rPr>
          <w:rFonts w:ascii="標楷體" w:eastAsia="標楷體" w:hAnsi="標楷體" w:hint="eastAsia"/>
          <w:sz w:val="27"/>
          <w:szCs w:val="27"/>
        </w:rPr>
        <w:t>，</w:t>
      </w:r>
      <w:r w:rsidR="007777BF" w:rsidRPr="007777BF">
        <w:rPr>
          <w:rFonts w:ascii="標楷體" w:eastAsia="標楷體" w:hAnsi="標楷體" w:hint="eastAsia"/>
          <w:sz w:val="27"/>
          <w:szCs w:val="27"/>
        </w:rPr>
        <w:t>觀察月底企業上繳稅款的時間點逼近，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銀行間的審慎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氛圍越發濃厚，除月底例行性緊縮效應浮現，加上6月初綜所稅上繳、月中央行理監事會等潛在變數，勢將影響後續市場資金調度偏向保守；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台股創近一年高位，證券商看好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後勢頻加碼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，發行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短票籌資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，亦將影響貨幣市場資金波動。預期短線利率應無回軟空間。交易部操作上，將優先爭取市場便宜資金</w:t>
      </w:r>
      <w:proofErr w:type="gramStart"/>
      <w:r w:rsidR="007777BF" w:rsidRPr="007777BF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7777BF" w:rsidRPr="007777BF">
        <w:rPr>
          <w:rFonts w:ascii="標楷體" w:eastAsia="標楷體" w:hAnsi="標楷體" w:hint="eastAsia"/>
          <w:sz w:val="27"/>
          <w:szCs w:val="27"/>
        </w:rPr>
        <w:t>成交，藉以降低公司資金成本以及調度風險</w:t>
      </w:r>
      <w:r w:rsidR="00A70C35" w:rsidRPr="00A70C35">
        <w:rPr>
          <w:rFonts w:ascii="標楷體" w:eastAsia="標楷體" w:hAnsi="標楷體" w:hint="eastAsia"/>
          <w:sz w:val="27"/>
          <w:szCs w:val="27"/>
        </w:rPr>
        <w:t>。</w:t>
      </w:r>
      <w:r w:rsidR="00D97B14" w:rsidRPr="00A86415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因美初領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失業金和今年第1季GDP數據優於預期，顯示美經濟仍具韌性，而多名聯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會官員仍持鷹派觀點認為升息周期可能尚未結束，加上美股投資情緒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受輝達亮眼財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測影響而回升，資金回流美國也助推美元，預期美元區間落在100-105，而新台幣在月底出口商實質拋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需求、美元指數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稍貶外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，還受益於台股上揚，一路升值</w:t>
      </w:r>
      <w:r w:rsidR="00381215">
        <w:rPr>
          <w:rFonts w:ascii="標楷體" w:eastAsia="標楷體" w:hAnsi="標楷體" w:hint="eastAsia"/>
          <w:sz w:val="27"/>
          <w:szCs w:val="27"/>
        </w:rPr>
        <w:t>。</w:t>
      </w:r>
      <w:r w:rsidR="00FE2A27" w:rsidRPr="00A86415">
        <w:rPr>
          <w:rFonts w:ascii="標楷體" w:eastAsia="標楷體" w:hAnsi="標楷體" w:hint="eastAsia"/>
          <w:sz w:val="27"/>
          <w:szCs w:val="27"/>
        </w:rPr>
        <w:t>展望後市，新台幣匯率後市深受美元強弱、台股表現與主要</w:t>
      </w:r>
      <w:proofErr w:type="gramStart"/>
      <w:r w:rsidR="00FE2A27" w:rsidRPr="00A86415">
        <w:rPr>
          <w:rFonts w:ascii="標楷體" w:eastAsia="標楷體" w:hAnsi="標楷體" w:hint="eastAsia"/>
          <w:sz w:val="27"/>
          <w:szCs w:val="27"/>
        </w:rPr>
        <w:t>亞幣升</w:t>
      </w:r>
      <w:proofErr w:type="gramEnd"/>
      <w:r w:rsidR="00FE2A27" w:rsidRPr="00A86415">
        <w:rPr>
          <w:rFonts w:ascii="標楷體" w:eastAsia="標楷體" w:hAnsi="標楷體" w:hint="eastAsia"/>
          <w:sz w:val="27"/>
          <w:szCs w:val="27"/>
        </w:rPr>
        <w:t>貶牽動，估計短期內仍將維持30.5~30.8元區間震盪格局</w:t>
      </w:r>
      <w:r w:rsidR="00A0366A" w:rsidRPr="00A86415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3D34CB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1C34938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31709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3A5BF83" w:rsidR="0046477E" w:rsidRPr="003D34CB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88.00</w:t>
            </w:r>
          </w:p>
        </w:tc>
      </w:tr>
      <w:tr w:rsidR="003D34CB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0FE9AEF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31709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37C3D9C" w:rsidR="0046477E" w:rsidRPr="003D34CB" w:rsidRDefault="00E31709" w:rsidP="0046477E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,086.00</w:t>
            </w:r>
          </w:p>
        </w:tc>
      </w:tr>
      <w:tr w:rsidR="003D34CB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222C4B69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5/</w:t>
            </w:r>
            <w:r w:rsidR="00E31709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56E934F0" w:rsidR="0046477E" w:rsidRPr="003D34CB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,415.30</w:t>
            </w:r>
          </w:p>
        </w:tc>
      </w:tr>
      <w:tr w:rsidR="003D34CB" w:rsidRPr="003D34CB" w14:paraId="55F0BD7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B78" w14:textId="3A9D3CEA" w:rsidR="0046477E" w:rsidRPr="003D34CB" w:rsidRDefault="00E31709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46477E"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1E" w14:textId="1C47DDF9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866" w14:textId="5D02DF9B" w:rsidR="0046477E" w:rsidRPr="003D34CB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,157.30</w:t>
            </w:r>
          </w:p>
        </w:tc>
      </w:tr>
      <w:tr w:rsidR="003D34CB" w:rsidRPr="003D34CB" w14:paraId="41F8794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B27" w14:textId="503C2609" w:rsidR="0046477E" w:rsidRPr="003D34CB" w:rsidRDefault="00E31709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46477E"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FBC" w14:textId="4B1C025D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98" w14:textId="77BEE290" w:rsidR="0046477E" w:rsidRPr="003D34CB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,620.50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D2AAFDB" w:rsidR="0046477E" w:rsidRPr="003D34CB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0,567.10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29C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A94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415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1171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大中票券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3</cp:revision>
  <cp:lastPrinted>2023-03-13T00:21:00Z</cp:lastPrinted>
  <dcterms:created xsi:type="dcterms:W3CDTF">2023-05-29T00:32:00Z</dcterms:created>
  <dcterms:modified xsi:type="dcterms:W3CDTF">2023-05-29T00:35:00Z</dcterms:modified>
</cp:coreProperties>
</file>